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523FE" w14:textId="19755F7A" w:rsidR="003B7BA6" w:rsidRPr="003B7BA6" w:rsidRDefault="003B7BA6">
      <w:pPr>
        <w:rPr>
          <w:b/>
          <w:bCs/>
          <w:i/>
          <w:iCs/>
          <w:sz w:val="32"/>
          <w:szCs w:val="32"/>
        </w:rPr>
      </w:pPr>
      <w:bookmarkStart w:id="0" w:name="_GoBack"/>
      <w:bookmarkEnd w:id="0"/>
      <w:r w:rsidRPr="003B7BA6">
        <w:rPr>
          <w:b/>
          <w:bCs/>
          <w:i/>
          <w:iCs/>
          <w:sz w:val="32"/>
          <w:szCs w:val="32"/>
        </w:rPr>
        <w:t>MEMORANDUM</w:t>
      </w:r>
    </w:p>
    <w:p w14:paraId="38C70155" w14:textId="77777777" w:rsidR="003B7BA6" w:rsidRDefault="003B7BA6"/>
    <w:p w14:paraId="6645B0B4" w14:textId="77777777" w:rsidR="003B7BA6" w:rsidRDefault="003B7BA6"/>
    <w:p w14:paraId="725296EC" w14:textId="77777777" w:rsidR="003B7BA6" w:rsidRDefault="003B7BA6"/>
    <w:p w14:paraId="2716C261" w14:textId="1155B29F" w:rsidR="00A9204E" w:rsidRDefault="003B7BA6">
      <w:r w:rsidRPr="003B7BA6">
        <w:rPr>
          <w:b/>
          <w:bCs/>
        </w:rPr>
        <w:t>DATE</w:t>
      </w:r>
      <w:r>
        <w:t>:</w:t>
      </w:r>
      <w:r>
        <w:tab/>
      </w:r>
      <w:r>
        <w:tab/>
      </w:r>
      <w:r w:rsidR="00BA4759">
        <w:t>January 28, 2020</w:t>
      </w:r>
    </w:p>
    <w:p w14:paraId="43C65CF3" w14:textId="2BE8B836" w:rsidR="003B7BA6" w:rsidRDefault="003B7BA6"/>
    <w:p w14:paraId="47A653C6" w14:textId="46F709A6" w:rsidR="003B7BA6" w:rsidRDefault="003B7BA6">
      <w:r w:rsidRPr="003B7BA6">
        <w:rPr>
          <w:b/>
          <w:bCs/>
        </w:rPr>
        <w:t>TO</w:t>
      </w:r>
      <w:r>
        <w:t>:</w:t>
      </w:r>
      <w:r>
        <w:tab/>
      </w:r>
      <w:r>
        <w:tab/>
        <w:t xml:space="preserve">Michael Li, DEEP; </w:t>
      </w:r>
    </w:p>
    <w:p w14:paraId="19EFB29B" w14:textId="11B4B670" w:rsidR="003B7BA6" w:rsidRDefault="003B7BA6" w:rsidP="003B7BA6">
      <w:pPr>
        <w:ind w:left="1440" w:hanging="1440"/>
      </w:pPr>
      <w:r>
        <w:t xml:space="preserve">cc: </w:t>
      </w:r>
      <w:r>
        <w:tab/>
        <w:t xml:space="preserve">Taren O’Connor, </w:t>
      </w:r>
      <w:r w:rsidR="005C7890">
        <w:t xml:space="preserve">John (J.R.) </w:t>
      </w:r>
      <w:proofErr w:type="spellStart"/>
      <w:r w:rsidR="005C7890">
        <w:t>Viglione</w:t>
      </w:r>
      <w:proofErr w:type="spellEnd"/>
      <w:r w:rsidR="005C7890">
        <w:t xml:space="preserve">, </w:t>
      </w:r>
      <w:r>
        <w:t>Donna Wells, Amy McLean, Companies, Technical Consultants, EA Team</w:t>
      </w:r>
    </w:p>
    <w:p w14:paraId="58FE8BBA" w14:textId="38433F74" w:rsidR="003B7BA6" w:rsidRDefault="003B7BA6"/>
    <w:p w14:paraId="06E619AA" w14:textId="115EC39E" w:rsidR="003B7BA6" w:rsidRDefault="003B7BA6">
      <w:r w:rsidRPr="003B7BA6">
        <w:rPr>
          <w:b/>
          <w:bCs/>
        </w:rPr>
        <w:t>FROM</w:t>
      </w:r>
      <w:r>
        <w:t>:</w:t>
      </w:r>
      <w:r>
        <w:tab/>
      </w:r>
      <w:r>
        <w:tab/>
        <w:t>EA Team</w:t>
      </w:r>
    </w:p>
    <w:p w14:paraId="4D87379B" w14:textId="576D0C60" w:rsidR="003B7BA6" w:rsidRDefault="003B7BA6"/>
    <w:p w14:paraId="0D809B44" w14:textId="5161008B" w:rsidR="003B7BA6" w:rsidRDefault="003B7BA6" w:rsidP="003B7BA6">
      <w:pPr>
        <w:ind w:left="1440" w:hanging="1440"/>
      </w:pPr>
      <w:r w:rsidRPr="003B7BA6">
        <w:rPr>
          <w:b/>
          <w:bCs/>
        </w:rPr>
        <w:t>SUBJECT</w:t>
      </w:r>
      <w:r>
        <w:t>:</w:t>
      </w:r>
      <w:r>
        <w:tab/>
        <w:t>EA Team Input on Suggestions for Improving CT Evaluation Process, Studies, Usefulness, and Implications for Roadmap Update</w:t>
      </w:r>
    </w:p>
    <w:p w14:paraId="607E220D" w14:textId="6574C36F" w:rsidR="003B7BA6" w:rsidRDefault="003B7BA6"/>
    <w:p w14:paraId="4B7A6226" w14:textId="77777777" w:rsidR="003B7BA6" w:rsidRDefault="003B7BA6"/>
    <w:p w14:paraId="6218520B" w14:textId="6E849E07" w:rsidR="003B7BA6" w:rsidRDefault="003B7BA6" w:rsidP="003D7C21">
      <w:pPr>
        <w:spacing w:line="247" w:lineRule="auto"/>
      </w:pPr>
      <w:r>
        <w:t xml:space="preserve">The first part of this memo replicates the Utility Response to DEEP’s three questions to the Companies regarding suggestions for improving the evaluation process, studies, and usefulness.  The EA team provides a mark-up of these concepts, with support for nearly every suggestion in full, as noted one-by-one in the margin.  The second part of this memo discusses additional considerations for DEEP from the EA perspective. </w:t>
      </w:r>
    </w:p>
    <w:p w14:paraId="68882F95" w14:textId="70AF694D" w:rsidR="00AA019E" w:rsidRDefault="00AA019E"/>
    <w:p w14:paraId="07BFBEA8" w14:textId="77777777" w:rsidR="003B7BA6" w:rsidRDefault="003B7BA6">
      <w:pPr>
        <w:rPr>
          <w:i/>
          <w:iCs/>
        </w:rPr>
      </w:pPr>
    </w:p>
    <w:p w14:paraId="1467AB6E" w14:textId="4C1A09B2" w:rsidR="003B7BA6" w:rsidRDefault="003B7BA6">
      <w:pPr>
        <w:rPr>
          <w:b/>
          <w:bCs/>
          <w:i/>
          <w:iCs/>
        </w:rPr>
      </w:pPr>
      <w:r w:rsidRPr="003B7BA6">
        <w:rPr>
          <w:b/>
          <w:bCs/>
          <w:i/>
          <w:iCs/>
        </w:rPr>
        <w:t>BEGINNING OF COMPANY RESPONSE TO DEEP…</w:t>
      </w:r>
    </w:p>
    <w:p w14:paraId="1DF2BCE5" w14:textId="77777777" w:rsidR="003B7BA6" w:rsidRPr="003B7BA6" w:rsidRDefault="003B7BA6">
      <w:pPr>
        <w:rPr>
          <w:b/>
          <w:bCs/>
          <w:i/>
          <w:iCs/>
        </w:rPr>
      </w:pPr>
    </w:p>
    <w:p w14:paraId="3239EB92" w14:textId="77777777" w:rsidR="00AA019E" w:rsidRDefault="00AA019E" w:rsidP="00AA019E">
      <w:pPr>
        <w:rPr>
          <w:rFonts w:ascii="Bahnschrift" w:hAnsi="Bahnschrift"/>
          <w:b/>
          <w:bCs/>
          <w:color w:val="44546A"/>
          <w:sz w:val="26"/>
          <w:szCs w:val="26"/>
          <w:u w:val="single"/>
        </w:rPr>
      </w:pPr>
      <w:r>
        <w:rPr>
          <w:rFonts w:ascii="Bahnschrift" w:hAnsi="Bahnschrift"/>
          <w:b/>
          <w:bCs/>
          <w:color w:val="44546A"/>
          <w:sz w:val="26"/>
          <w:szCs w:val="26"/>
          <w:u w:val="single"/>
        </w:rPr>
        <w:t xml:space="preserve">Evaluation </w:t>
      </w:r>
    </w:p>
    <w:p w14:paraId="730F141B" w14:textId="77777777" w:rsidR="00AA019E" w:rsidRDefault="00AA019E" w:rsidP="00AA019E">
      <w:pPr>
        <w:pStyle w:val="ListParagraph"/>
        <w:numPr>
          <w:ilvl w:val="0"/>
          <w:numId w:val="24"/>
        </w:numPr>
        <w:spacing w:line="360" w:lineRule="auto"/>
        <w:ind w:left="360"/>
        <w:rPr>
          <w:rFonts w:ascii="Bahnschrift" w:hAnsi="Bahnschrift"/>
          <w:b/>
          <w:bCs/>
          <w:color w:val="44546A"/>
          <w:sz w:val="24"/>
          <w:szCs w:val="24"/>
          <w:u w:val="single"/>
        </w:rPr>
      </w:pPr>
      <w:r>
        <w:rPr>
          <w:rFonts w:ascii="Bahnschrift" w:hAnsi="Bahnschrift"/>
          <w:b/>
          <w:bCs/>
          <w:color w:val="44546A"/>
          <w:sz w:val="24"/>
          <w:szCs w:val="24"/>
          <w:u w:val="single"/>
        </w:rPr>
        <w:t xml:space="preserve">Provide written comments on recommendations for modifying the evaluation process to improve the value of the evaluation studies. </w:t>
      </w:r>
    </w:p>
    <w:p w14:paraId="2483485F" w14:textId="77777777" w:rsidR="00AA019E" w:rsidRDefault="00AA019E" w:rsidP="00AA019E">
      <w:pPr>
        <w:pStyle w:val="ListParagraph"/>
        <w:numPr>
          <w:ilvl w:val="0"/>
          <w:numId w:val="24"/>
        </w:numPr>
        <w:spacing w:line="360" w:lineRule="auto"/>
        <w:ind w:left="360"/>
        <w:rPr>
          <w:rFonts w:ascii="Bahnschrift" w:hAnsi="Bahnschrift"/>
          <w:b/>
          <w:bCs/>
          <w:color w:val="44546A"/>
          <w:sz w:val="24"/>
          <w:szCs w:val="24"/>
          <w:u w:val="single"/>
        </w:rPr>
      </w:pPr>
      <w:r>
        <w:rPr>
          <w:rFonts w:ascii="Bahnschrift" w:hAnsi="Bahnschrift"/>
          <w:b/>
          <w:bCs/>
          <w:color w:val="44546A"/>
          <w:sz w:val="24"/>
          <w:szCs w:val="24"/>
          <w:u w:val="single"/>
        </w:rPr>
        <w:t>Provide written comments on how changes to the evaluation process could benefit program design and implementation.</w:t>
      </w:r>
    </w:p>
    <w:p w14:paraId="5B7C2207" w14:textId="77777777" w:rsidR="00AA019E" w:rsidRDefault="00AA019E" w:rsidP="00AA019E">
      <w:pPr>
        <w:pStyle w:val="ListParagraph"/>
        <w:numPr>
          <w:ilvl w:val="0"/>
          <w:numId w:val="24"/>
        </w:numPr>
        <w:spacing w:line="360" w:lineRule="auto"/>
        <w:ind w:left="360"/>
        <w:rPr>
          <w:rFonts w:ascii="Bahnschrift" w:hAnsi="Bahnschrift"/>
          <w:b/>
          <w:bCs/>
          <w:color w:val="44546A"/>
          <w:sz w:val="24"/>
          <w:szCs w:val="24"/>
          <w:u w:val="single"/>
        </w:rPr>
      </w:pPr>
      <w:r>
        <w:rPr>
          <w:rFonts w:ascii="Bahnschrift" w:hAnsi="Bahnschrift"/>
          <w:b/>
          <w:bCs/>
          <w:color w:val="44546A"/>
          <w:sz w:val="24"/>
          <w:szCs w:val="24"/>
          <w:u w:val="single"/>
        </w:rPr>
        <w:t>Provide written comments on how evaluation studies can produce more timely results and information.</w:t>
      </w:r>
    </w:p>
    <w:p w14:paraId="44324541" w14:textId="77777777" w:rsidR="00AA019E" w:rsidRDefault="00AA019E" w:rsidP="00AA019E">
      <w:pPr>
        <w:pStyle w:val="ListParagraph"/>
        <w:spacing w:line="360" w:lineRule="auto"/>
        <w:rPr>
          <w:rFonts w:ascii="Calibri Light" w:hAnsi="Calibri Light" w:cs="Calibri Light"/>
          <w:sz w:val="8"/>
          <w:szCs w:val="8"/>
        </w:rPr>
      </w:pPr>
    </w:p>
    <w:p w14:paraId="579798DE" w14:textId="77777777" w:rsidR="00AA019E" w:rsidRDefault="00AA019E" w:rsidP="00AA019E">
      <w:pPr>
        <w:pStyle w:val="ListParagraph"/>
        <w:spacing w:line="360" w:lineRule="auto"/>
        <w:ind w:left="0"/>
        <w:rPr>
          <w:rFonts w:ascii="Calibri Light" w:hAnsi="Calibri Light" w:cs="Calibri Light"/>
          <w:sz w:val="24"/>
          <w:szCs w:val="24"/>
        </w:rPr>
      </w:pPr>
      <w:r w:rsidRPr="00AA019E">
        <w:rPr>
          <w:rFonts w:ascii="Calibri Light" w:hAnsi="Calibri Light" w:cs="Calibri Light"/>
          <w:b/>
          <w:bCs/>
          <w:color w:val="44546A"/>
          <w:sz w:val="24"/>
          <w:szCs w:val="24"/>
        </w:rPr>
        <w:t>Companies’ Response</w:t>
      </w:r>
      <w:r>
        <w:rPr>
          <w:rFonts w:ascii="Calibri Light" w:hAnsi="Calibri Light" w:cs="Calibri Light"/>
          <w:b/>
          <w:bCs/>
          <w:color w:val="44546A"/>
          <w:sz w:val="24"/>
          <w:szCs w:val="24"/>
        </w:rPr>
        <w:t>:</w:t>
      </w:r>
      <w:r>
        <w:rPr>
          <w:rFonts w:ascii="Calibri Light" w:hAnsi="Calibri Light" w:cs="Calibri Light"/>
          <w:color w:val="44546A"/>
          <w:sz w:val="24"/>
          <w:szCs w:val="24"/>
        </w:rPr>
        <w:t xml:space="preserve"> </w:t>
      </w:r>
      <w:r>
        <w:rPr>
          <w:rFonts w:ascii="Calibri Light" w:hAnsi="Calibri Light" w:cs="Calibri Light"/>
          <w:sz w:val="24"/>
          <w:szCs w:val="24"/>
        </w:rPr>
        <w:t xml:space="preserve">The Companies have identified several potential areas for improvements to the current CT evaluation framework to streamline the process and improve the timeliness, value, and applicability of evaluation results, while complying with statutory requirements for an independent evaluation process, as set out in </w:t>
      </w:r>
      <w:r>
        <w:rPr>
          <w:rFonts w:ascii="Calibri Light" w:hAnsi="Calibri Light" w:cs="Calibri Light"/>
          <w:i/>
          <w:iCs/>
          <w:sz w:val="24"/>
          <w:szCs w:val="24"/>
        </w:rPr>
        <w:t>Conn. Gen. Stat. § 16-245m</w:t>
      </w:r>
      <w:r>
        <w:rPr>
          <w:rFonts w:ascii="Calibri Light" w:hAnsi="Calibri Light" w:cs="Calibri Light"/>
          <w:sz w:val="24"/>
          <w:szCs w:val="24"/>
        </w:rPr>
        <w:t xml:space="preserve">. These improvements would strengthen credibility and ensure programs are cost-effective and achieve optimal levels of energy savings. Several of these potential improvements are permitted under the </w:t>
      </w:r>
      <w:r>
        <w:rPr>
          <w:rFonts w:ascii="Calibri Light" w:hAnsi="Calibri Light" w:cs="Calibri Light"/>
          <w:sz w:val="24"/>
          <w:szCs w:val="24"/>
        </w:rPr>
        <w:lastRenderedPageBreak/>
        <w:t>existing CT Evaluation Roadmap and are employed to a limited extent already, but others would require changes to the Roadmap. These improvements are:</w:t>
      </w:r>
    </w:p>
    <w:p w14:paraId="6DD056B6" w14:textId="77777777" w:rsidR="00AA019E" w:rsidRDefault="00AA019E" w:rsidP="00AA019E">
      <w:pPr>
        <w:pStyle w:val="ListParagraph"/>
        <w:spacing w:line="360" w:lineRule="auto"/>
        <w:rPr>
          <w:rFonts w:ascii="Calibri Light" w:hAnsi="Calibri Light" w:cs="Calibri Light"/>
          <w:b/>
          <w:bCs/>
          <w:color w:val="44546A"/>
          <w:sz w:val="8"/>
          <w:szCs w:val="8"/>
        </w:rPr>
      </w:pPr>
    </w:p>
    <w:p w14:paraId="6C9B6AB1" w14:textId="77777777" w:rsidR="00AA019E" w:rsidRDefault="00AA019E" w:rsidP="00AA019E">
      <w:pPr>
        <w:pStyle w:val="ListParagraph"/>
        <w:numPr>
          <w:ilvl w:val="2"/>
          <w:numId w:val="24"/>
        </w:numPr>
        <w:spacing w:before="240" w:line="360" w:lineRule="auto"/>
        <w:ind w:left="720" w:hanging="360"/>
        <w:rPr>
          <w:rFonts w:ascii="Calibri Light" w:hAnsi="Calibri Light" w:cs="Calibri Light"/>
          <w:b/>
          <w:bCs/>
          <w:color w:val="44546A"/>
          <w:sz w:val="24"/>
          <w:szCs w:val="24"/>
        </w:rPr>
      </w:pPr>
      <w:r>
        <w:rPr>
          <w:rFonts w:ascii="Calibri Light" w:hAnsi="Calibri Light" w:cs="Calibri Light"/>
          <w:b/>
          <w:bCs/>
          <w:sz w:val="24"/>
          <w:szCs w:val="24"/>
        </w:rPr>
        <w:t xml:space="preserve">Allow more flexibility in evaluation planning: </w:t>
      </w:r>
      <w:r>
        <w:rPr>
          <w:rFonts w:ascii="Calibri Light" w:hAnsi="Calibri Light" w:cs="Calibri Light"/>
          <w:sz w:val="24"/>
          <w:szCs w:val="24"/>
        </w:rPr>
        <w:t>This includes:</w:t>
      </w:r>
    </w:p>
    <w:p w14:paraId="2158FBC4" w14:textId="77777777" w:rsidR="00AA019E" w:rsidRDefault="00AA019E" w:rsidP="00AA019E">
      <w:pPr>
        <w:pStyle w:val="ListParagraph"/>
        <w:numPr>
          <w:ilvl w:val="0"/>
          <w:numId w:val="25"/>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 xml:space="preserve">Leaving some unallocated budget in the </w:t>
      </w:r>
      <w:commentRangeStart w:id="1"/>
      <w:r>
        <w:rPr>
          <w:rFonts w:ascii="Calibri Light" w:eastAsia="Times New Roman" w:hAnsi="Calibri Light" w:cs="Calibri Light"/>
          <w:sz w:val="24"/>
          <w:szCs w:val="24"/>
        </w:rPr>
        <w:t>evaluation plan for emerging issues</w:t>
      </w:r>
      <w:commentRangeEnd w:id="1"/>
      <w:r>
        <w:rPr>
          <w:rStyle w:val="CommentReference"/>
        </w:rPr>
        <w:commentReference w:id="1"/>
      </w:r>
      <w:r>
        <w:rPr>
          <w:rFonts w:ascii="Calibri Light" w:eastAsia="Times New Roman" w:hAnsi="Calibri Light" w:cs="Calibri Light"/>
          <w:sz w:val="24"/>
          <w:szCs w:val="24"/>
        </w:rPr>
        <w:t xml:space="preserve">; </w:t>
      </w:r>
    </w:p>
    <w:p w14:paraId="6DBF6498" w14:textId="77777777" w:rsidR="00AA019E" w:rsidRDefault="00AA019E" w:rsidP="00AA019E">
      <w:pPr>
        <w:pStyle w:val="ListParagraph"/>
        <w:numPr>
          <w:ilvl w:val="0"/>
          <w:numId w:val="25"/>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 xml:space="preserve">Allowing for joint efforts with affiliates (e.g., MA, NY, NH) to leverage multi-state </w:t>
      </w:r>
      <w:commentRangeStart w:id="2"/>
      <w:r>
        <w:rPr>
          <w:rFonts w:ascii="Calibri Light" w:eastAsia="Times New Roman" w:hAnsi="Calibri Light" w:cs="Calibri Light"/>
          <w:sz w:val="24"/>
          <w:szCs w:val="24"/>
        </w:rPr>
        <w:t>efficiencies</w:t>
      </w:r>
      <w:commentRangeEnd w:id="2"/>
      <w:r>
        <w:rPr>
          <w:rStyle w:val="CommentReference"/>
        </w:rPr>
        <w:commentReference w:id="2"/>
      </w:r>
      <w:r>
        <w:rPr>
          <w:rFonts w:ascii="Calibri Light" w:eastAsia="Times New Roman" w:hAnsi="Calibri Light" w:cs="Calibri Light"/>
          <w:sz w:val="24"/>
          <w:szCs w:val="24"/>
        </w:rPr>
        <w:t xml:space="preserve">; and </w:t>
      </w:r>
    </w:p>
    <w:p w14:paraId="6283059D" w14:textId="77777777" w:rsidR="00AA019E" w:rsidRDefault="00AA019E" w:rsidP="00AA019E">
      <w:pPr>
        <w:pStyle w:val="ListParagraph"/>
        <w:numPr>
          <w:ilvl w:val="0"/>
          <w:numId w:val="25"/>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 xml:space="preserve">Allowing for </w:t>
      </w:r>
      <w:commentRangeStart w:id="3"/>
      <w:r>
        <w:rPr>
          <w:rFonts w:ascii="Calibri Light" w:eastAsia="Times New Roman" w:hAnsi="Calibri Light" w:cs="Calibri Light"/>
          <w:sz w:val="24"/>
          <w:szCs w:val="24"/>
        </w:rPr>
        <w:t xml:space="preserve">research area vendors </w:t>
      </w:r>
      <w:commentRangeEnd w:id="3"/>
      <w:r>
        <w:rPr>
          <w:rStyle w:val="CommentReference"/>
        </w:rPr>
        <w:commentReference w:id="3"/>
      </w:r>
      <w:r>
        <w:rPr>
          <w:rFonts w:ascii="Calibri Light" w:eastAsia="Times New Roman" w:hAnsi="Calibri Light" w:cs="Calibri Light"/>
          <w:sz w:val="24"/>
          <w:szCs w:val="24"/>
        </w:rPr>
        <w:t xml:space="preserve">(sector-wide evaluators vs. study-specific evaluators) to streamline contracting and reduce duplicative or overlapping data requests, customer interviews, or site visits. </w:t>
      </w:r>
    </w:p>
    <w:p w14:paraId="577B558A" w14:textId="77777777" w:rsidR="00AA019E" w:rsidRDefault="00AA019E" w:rsidP="00AA019E">
      <w:pPr>
        <w:pStyle w:val="ListParagraph"/>
        <w:numPr>
          <w:ilvl w:val="2"/>
          <w:numId w:val="24"/>
        </w:numPr>
        <w:spacing w:before="240" w:line="360" w:lineRule="auto"/>
        <w:ind w:left="720" w:hanging="360"/>
        <w:rPr>
          <w:rFonts w:ascii="Calibri Light" w:hAnsi="Calibri Light" w:cs="Calibri Light"/>
          <w:b/>
          <w:bCs/>
          <w:color w:val="44546A"/>
          <w:sz w:val="24"/>
          <w:szCs w:val="24"/>
        </w:rPr>
      </w:pPr>
      <w:r>
        <w:rPr>
          <w:rFonts w:ascii="Calibri Light" w:hAnsi="Calibri Light" w:cs="Calibri Light"/>
          <w:b/>
          <w:bCs/>
          <w:sz w:val="24"/>
          <w:szCs w:val="24"/>
        </w:rPr>
        <w:t xml:space="preserve">Allow input from the Companies at defined points in process: </w:t>
      </w:r>
      <w:r>
        <w:rPr>
          <w:rFonts w:ascii="Calibri Light" w:hAnsi="Calibri Light" w:cs="Calibri Light"/>
          <w:sz w:val="24"/>
          <w:szCs w:val="24"/>
        </w:rPr>
        <w:t>This includes:</w:t>
      </w:r>
    </w:p>
    <w:p w14:paraId="318D727D" w14:textId="77777777" w:rsidR="00AA019E" w:rsidRDefault="00AA019E" w:rsidP="00AA019E">
      <w:pPr>
        <w:pStyle w:val="ListParagraph"/>
        <w:numPr>
          <w:ilvl w:val="0"/>
          <w:numId w:val="26"/>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Soliciting</w:t>
      </w:r>
      <w:r>
        <w:rPr>
          <w:rFonts w:ascii="Calibri Light" w:eastAsia="Times New Roman" w:hAnsi="Calibri Light" w:cs="Calibri Light"/>
          <w:b/>
          <w:bCs/>
          <w:sz w:val="24"/>
          <w:szCs w:val="24"/>
        </w:rPr>
        <w:t xml:space="preserve"> </w:t>
      </w:r>
      <w:r>
        <w:rPr>
          <w:rFonts w:ascii="Calibri Light" w:eastAsia="Times New Roman" w:hAnsi="Calibri Light" w:cs="Calibri Light"/>
          <w:sz w:val="24"/>
          <w:szCs w:val="24"/>
        </w:rPr>
        <w:t xml:space="preserve">input on </w:t>
      </w:r>
      <w:commentRangeStart w:id="4"/>
      <w:r>
        <w:rPr>
          <w:rFonts w:ascii="Calibri Light" w:eastAsia="Times New Roman" w:hAnsi="Calibri Light" w:cs="Calibri Light"/>
          <w:sz w:val="24"/>
          <w:szCs w:val="24"/>
        </w:rPr>
        <w:t>vendor selection</w:t>
      </w:r>
      <w:commentRangeEnd w:id="4"/>
      <w:r w:rsidR="000F44AD">
        <w:rPr>
          <w:rStyle w:val="CommentReference"/>
        </w:rPr>
        <w:commentReference w:id="4"/>
      </w:r>
      <w:r>
        <w:rPr>
          <w:rFonts w:ascii="Calibri Light" w:eastAsia="Times New Roman" w:hAnsi="Calibri Light" w:cs="Calibri Light"/>
          <w:sz w:val="24"/>
          <w:szCs w:val="24"/>
        </w:rPr>
        <w:t xml:space="preserve">, given the Companies’ experience with vendors across multiple states and procurement negotiation expertise; </w:t>
      </w:r>
    </w:p>
    <w:p w14:paraId="1A6DF9B5" w14:textId="77777777" w:rsidR="00AA019E" w:rsidRDefault="00AA019E" w:rsidP="00AA019E">
      <w:pPr>
        <w:pStyle w:val="ListParagraph"/>
        <w:numPr>
          <w:ilvl w:val="0"/>
          <w:numId w:val="26"/>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 xml:space="preserve">Soliciting input on </w:t>
      </w:r>
      <w:commentRangeStart w:id="5"/>
      <w:r>
        <w:rPr>
          <w:rFonts w:ascii="Calibri Light" w:eastAsia="Times New Roman" w:hAnsi="Calibri Light" w:cs="Calibri Light"/>
          <w:sz w:val="24"/>
          <w:szCs w:val="24"/>
        </w:rPr>
        <w:t xml:space="preserve">selection of programs to evaluate </w:t>
      </w:r>
      <w:commentRangeEnd w:id="5"/>
      <w:r w:rsidR="000F44AD">
        <w:rPr>
          <w:rStyle w:val="CommentReference"/>
        </w:rPr>
        <w:commentReference w:id="5"/>
      </w:r>
      <w:r>
        <w:rPr>
          <w:rFonts w:ascii="Calibri Light" w:eastAsia="Times New Roman" w:hAnsi="Calibri Light" w:cs="Calibri Light"/>
          <w:sz w:val="24"/>
          <w:szCs w:val="24"/>
        </w:rPr>
        <w:t xml:space="preserve">and </w:t>
      </w:r>
      <w:commentRangeStart w:id="6"/>
      <w:r>
        <w:rPr>
          <w:rFonts w:ascii="Calibri Light" w:eastAsia="Times New Roman" w:hAnsi="Calibri Light" w:cs="Calibri Light"/>
          <w:sz w:val="24"/>
          <w:szCs w:val="24"/>
        </w:rPr>
        <w:t>draft work plans</w:t>
      </w:r>
      <w:commentRangeEnd w:id="6"/>
      <w:r w:rsidR="00DF0C53">
        <w:rPr>
          <w:rStyle w:val="CommentReference"/>
        </w:rPr>
        <w:commentReference w:id="6"/>
      </w:r>
      <w:r>
        <w:rPr>
          <w:rFonts w:ascii="Calibri Light" w:eastAsia="Times New Roman" w:hAnsi="Calibri Light" w:cs="Calibri Light"/>
          <w:sz w:val="24"/>
          <w:szCs w:val="24"/>
        </w:rPr>
        <w:t>;</w:t>
      </w:r>
    </w:p>
    <w:p w14:paraId="0811557F" w14:textId="77777777" w:rsidR="00AA019E" w:rsidRDefault="00AA019E" w:rsidP="00AA019E">
      <w:pPr>
        <w:pStyle w:val="ListParagraph"/>
        <w:numPr>
          <w:ilvl w:val="0"/>
          <w:numId w:val="26"/>
        </w:numPr>
        <w:spacing w:before="240" w:line="360" w:lineRule="auto"/>
        <w:rPr>
          <w:rFonts w:ascii="Calibri Light" w:eastAsia="Times New Roman" w:hAnsi="Calibri Light" w:cs="Calibri Light"/>
          <w:b/>
          <w:bCs/>
          <w:color w:val="44546A"/>
          <w:sz w:val="24"/>
          <w:szCs w:val="24"/>
        </w:rPr>
      </w:pPr>
      <w:r>
        <w:rPr>
          <w:rFonts w:ascii="Calibri Light" w:eastAsia="Times New Roman" w:hAnsi="Calibri Light" w:cs="Calibri Light"/>
          <w:sz w:val="24"/>
          <w:szCs w:val="24"/>
        </w:rPr>
        <w:t xml:space="preserve">Holding </w:t>
      </w:r>
      <w:commentRangeStart w:id="7"/>
      <w:r>
        <w:rPr>
          <w:rFonts w:ascii="Calibri Light" w:eastAsia="Times New Roman" w:hAnsi="Calibri Light" w:cs="Calibri Light"/>
          <w:sz w:val="24"/>
          <w:szCs w:val="24"/>
        </w:rPr>
        <w:t xml:space="preserve">initial interviews </w:t>
      </w:r>
      <w:commentRangeEnd w:id="7"/>
      <w:r w:rsidR="00DF0C53">
        <w:rPr>
          <w:rStyle w:val="CommentReference"/>
        </w:rPr>
        <w:commentReference w:id="7"/>
      </w:r>
      <w:r>
        <w:rPr>
          <w:rFonts w:ascii="Calibri Light" w:eastAsia="Times New Roman" w:hAnsi="Calibri Light" w:cs="Calibri Light"/>
          <w:sz w:val="24"/>
          <w:szCs w:val="24"/>
        </w:rPr>
        <w:t xml:space="preserve">between evaluators and the Companies’ program staff; and </w:t>
      </w:r>
    </w:p>
    <w:p w14:paraId="1C099A38" w14:textId="77777777" w:rsidR="00AA019E" w:rsidRDefault="00AA019E" w:rsidP="00AA019E">
      <w:pPr>
        <w:pStyle w:val="ListParagraph"/>
        <w:numPr>
          <w:ilvl w:val="0"/>
          <w:numId w:val="26"/>
        </w:numPr>
        <w:spacing w:before="240" w:line="360" w:lineRule="auto"/>
        <w:rPr>
          <w:rFonts w:ascii="Calibri Light" w:eastAsia="Times New Roman" w:hAnsi="Calibri Light" w:cs="Calibri Light"/>
          <w:b/>
          <w:bCs/>
          <w:color w:val="44546A"/>
          <w:sz w:val="24"/>
          <w:szCs w:val="24"/>
        </w:rPr>
      </w:pPr>
      <w:commentRangeStart w:id="8"/>
      <w:r>
        <w:rPr>
          <w:rFonts w:ascii="Calibri Light" w:eastAsia="Times New Roman" w:hAnsi="Calibri Light" w:cs="Calibri Light"/>
          <w:sz w:val="24"/>
          <w:szCs w:val="24"/>
        </w:rPr>
        <w:t xml:space="preserve">Soliciting input when issues </w:t>
      </w:r>
      <w:commentRangeEnd w:id="8"/>
      <w:r w:rsidR="00163347">
        <w:rPr>
          <w:rStyle w:val="CommentReference"/>
        </w:rPr>
        <w:commentReference w:id="8"/>
      </w:r>
      <w:r>
        <w:rPr>
          <w:rFonts w:ascii="Calibri Light" w:eastAsia="Times New Roman" w:hAnsi="Calibri Light" w:cs="Calibri Light"/>
          <w:sz w:val="24"/>
          <w:szCs w:val="24"/>
        </w:rPr>
        <w:t>are uncovered during the course of a study to determine root causes and improve recommendation quality.</w:t>
      </w:r>
    </w:p>
    <w:p w14:paraId="376E08D9" w14:textId="77777777" w:rsidR="00AA019E" w:rsidRDefault="00AA019E" w:rsidP="00AA019E">
      <w:pPr>
        <w:pStyle w:val="ListParagraph"/>
        <w:numPr>
          <w:ilvl w:val="2"/>
          <w:numId w:val="24"/>
        </w:numPr>
        <w:spacing w:before="240" w:line="360" w:lineRule="auto"/>
        <w:ind w:left="720" w:hanging="360"/>
        <w:rPr>
          <w:rFonts w:ascii="Calibri Light" w:hAnsi="Calibri Light" w:cs="Calibri Light"/>
          <w:b/>
          <w:bCs/>
          <w:color w:val="44546A"/>
          <w:sz w:val="24"/>
          <w:szCs w:val="24"/>
        </w:rPr>
      </w:pPr>
      <w:r>
        <w:rPr>
          <w:rFonts w:ascii="Calibri Light" w:hAnsi="Calibri Light" w:cs="Calibri Light"/>
          <w:b/>
          <w:bCs/>
          <w:sz w:val="24"/>
          <w:szCs w:val="24"/>
        </w:rPr>
        <w:t xml:space="preserve">Encourage </w:t>
      </w:r>
      <w:commentRangeStart w:id="9"/>
      <w:r>
        <w:rPr>
          <w:rFonts w:ascii="Calibri Light" w:hAnsi="Calibri Light" w:cs="Calibri Light"/>
          <w:b/>
          <w:bCs/>
          <w:sz w:val="24"/>
          <w:szCs w:val="24"/>
        </w:rPr>
        <w:t xml:space="preserve">innovative, fast-feedback </w:t>
      </w:r>
      <w:commentRangeEnd w:id="9"/>
      <w:r w:rsidR="00163347">
        <w:rPr>
          <w:rStyle w:val="CommentReference"/>
        </w:rPr>
        <w:commentReference w:id="9"/>
      </w:r>
      <w:r>
        <w:rPr>
          <w:rFonts w:ascii="Calibri Light" w:hAnsi="Calibri Light" w:cs="Calibri Light"/>
          <w:b/>
          <w:bCs/>
          <w:sz w:val="24"/>
          <w:szCs w:val="24"/>
        </w:rPr>
        <w:t xml:space="preserve">approaches: </w:t>
      </w:r>
      <w:r>
        <w:rPr>
          <w:rFonts w:ascii="Calibri Light" w:hAnsi="Calibri Light" w:cs="Calibri Light"/>
          <w:sz w:val="24"/>
          <w:szCs w:val="24"/>
        </w:rPr>
        <w:t xml:space="preserve">The Companies have pursued innovative approaches to obtain faster, more actionable feedback outside of the formal CT evaluation framework, and these approaches could be expanded. For example, the Companies are deploying an advanced M&amp;V platform from Recurve to provide ongoing monitoring of HES/HES-IE projects, which will produce data and results that could be </w:t>
      </w:r>
      <w:r>
        <w:rPr>
          <w:rFonts w:ascii="Calibri Light" w:hAnsi="Calibri Light" w:cs="Calibri Light"/>
          <w:sz w:val="24"/>
          <w:szCs w:val="24"/>
        </w:rPr>
        <w:lastRenderedPageBreak/>
        <w:t>leveraged by a third-party evaluator as part of the formal evaluation process. The Companies have also integrated evaluations with implementation of several pilot programs (e.g., demand response and heat pump pilots), allowing for faster feedback and program improvements.</w:t>
      </w:r>
    </w:p>
    <w:p w14:paraId="135630A5" w14:textId="77777777" w:rsidR="00AA019E" w:rsidRDefault="00AA019E" w:rsidP="00AA019E">
      <w:pPr>
        <w:pStyle w:val="ListParagraph"/>
        <w:numPr>
          <w:ilvl w:val="2"/>
          <w:numId w:val="24"/>
        </w:numPr>
        <w:spacing w:before="240" w:line="360" w:lineRule="auto"/>
        <w:ind w:left="720" w:hanging="360"/>
        <w:rPr>
          <w:rFonts w:ascii="Calibri Light" w:hAnsi="Calibri Light" w:cs="Calibri Light"/>
          <w:b/>
          <w:bCs/>
          <w:color w:val="44546A"/>
          <w:sz w:val="24"/>
          <w:szCs w:val="24"/>
        </w:rPr>
      </w:pPr>
      <w:r>
        <w:rPr>
          <w:rFonts w:ascii="Calibri Light" w:hAnsi="Calibri Light" w:cs="Calibri Light"/>
          <w:b/>
          <w:bCs/>
          <w:sz w:val="24"/>
          <w:szCs w:val="24"/>
        </w:rPr>
        <w:t xml:space="preserve">Obtain Evaluation Administrator (“EA”) input during the annual Program Savings Document (“PSD”) update process: </w:t>
      </w:r>
      <w:r>
        <w:rPr>
          <w:rFonts w:ascii="Calibri Light" w:hAnsi="Calibri Light" w:cs="Calibri Light"/>
          <w:sz w:val="24"/>
          <w:szCs w:val="24"/>
        </w:rPr>
        <w:t xml:space="preserve">The EA team and the EEB’s technical consultants should provide coordinated input regarding application of new evaluation results </w:t>
      </w:r>
      <w:commentRangeStart w:id="10"/>
      <w:r>
        <w:rPr>
          <w:rFonts w:ascii="Calibri Light" w:hAnsi="Calibri Light" w:cs="Calibri Light"/>
          <w:sz w:val="24"/>
          <w:szCs w:val="24"/>
        </w:rPr>
        <w:t>during the early stages of the annual PSD update</w:t>
      </w:r>
      <w:commentRangeEnd w:id="10"/>
      <w:r w:rsidR="00163347">
        <w:rPr>
          <w:rStyle w:val="CommentReference"/>
        </w:rPr>
        <w:commentReference w:id="10"/>
      </w:r>
      <w:r>
        <w:rPr>
          <w:rFonts w:ascii="Calibri Light" w:hAnsi="Calibri Light" w:cs="Calibri Light"/>
          <w:sz w:val="24"/>
          <w:szCs w:val="24"/>
        </w:rPr>
        <w:t>, rather than after individual studies, to streamline and avoid conflicting guidance to the Companies, and to allow planning based on most recent information.</w:t>
      </w:r>
    </w:p>
    <w:p w14:paraId="6C94EC2D" w14:textId="64B29FB5" w:rsidR="00AA019E" w:rsidRDefault="00AA019E" w:rsidP="00AA019E">
      <w:pPr>
        <w:spacing w:before="240" w:line="360" w:lineRule="auto"/>
        <w:rPr>
          <w:rFonts w:ascii="Bahnschrift" w:hAnsi="Bahnschrift"/>
          <w:b/>
          <w:bCs/>
          <w:color w:val="44546A"/>
          <w:sz w:val="26"/>
          <w:szCs w:val="26"/>
          <w:u w:val="single"/>
        </w:rPr>
      </w:pPr>
      <w:r>
        <w:rPr>
          <w:rFonts w:ascii="Calibri Light" w:hAnsi="Calibri Light" w:cs="Calibri Light"/>
          <w:sz w:val="24"/>
          <w:szCs w:val="24"/>
        </w:rPr>
        <w:t>The Companies look forward to discussing these potential improvements with the EEB Evaluation Committee and considering any necessary revisions to the CT Evaluation Roadmap.</w:t>
      </w:r>
      <w:r w:rsidR="00163347">
        <w:rPr>
          <w:rFonts w:ascii="Calibri Light" w:hAnsi="Calibri Light" w:cs="Calibri Light"/>
          <w:sz w:val="24"/>
          <w:szCs w:val="24"/>
        </w:rPr>
        <w:t xml:space="preserve"> </w:t>
      </w:r>
      <w:commentRangeStart w:id="11"/>
      <w:r w:rsidR="00163347">
        <w:rPr>
          <w:rFonts w:ascii="Calibri Light" w:hAnsi="Calibri Light" w:cs="Calibri Light"/>
          <w:sz w:val="24"/>
          <w:szCs w:val="24"/>
        </w:rPr>
        <w:t>xx</w:t>
      </w:r>
      <w:commentRangeEnd w:id="11"/>
      <w:r w:rsidR="00163347">
        <w:rPr>
          <w:rStyle w:val="CommentReference"/>
        </w:rPr>
        <w:commentReference w:id="11"/>
      </w:r>
    </w:p>
    <w:p w14:paraId="28356A11" w14:textId="3BC2789A" w:rsidR="00AA019E" w:rsidRDefault="00AA019E" w:rsidP="00AA019E"/>
    <w:p w14:paraId="2E997FF1" w14:textId="37AC0D18" w:rsidR="00981C56" w:rsidRPr="00981C56" w:rsidRDefault="00981C56" w:rsidP="00AA019E">
      <w:pPr>
        <w:rPr>
          <w:b/>
          <w:bCs/>
        </w:rPr>
      </w:pPr>
      <w:r w:rsidRPr="00981C56">
        <w:rPr>
          <w:b/>
          <w:bCs/>
        </w:rPr>
        <w:t xml:space="preserve">END OF COMPANY </w:t>
      </w:r>
      <w:r>
        <w:rPr>
          <w:b/>
          <w:bCs/>
        </w:rPr>
        <w:t>RESPONSE TO DEEP</w:t>
      </w:r>
      <w:r w:rsidRPr="00981C56">
        <w:rPr>
          <w:b/>
          <w:bCs/>
        </w:rPr>
        <w:t>.</w:t>
      </w:r>
    </w:p>
    <w:p w14:paraId="30CFEE25" w14:textId="33EFBDAF" w:rsidR="00981C56" w:rsidRDefault="00981C56" w:rsidP="00AA019E"/>
    <w:p w14:paraId="0F4CBDEA" w14:textId="28B9C702" w:rsidR="00981C56" w:rsidRDefault="00981C56" w:rsidP="00AA019E">
      <w:r w:rsidRPr="00981C56">
        <w:rPr>
          <w:b/>
          <w:bCs/>
        </w:rPr>
        <w:t>Additional Input from the EA Team</w:t>
      </w:r>
      <w:r>
        <w:t>:</w:t>
      </w:r>
    </w:p>
    <w:p w14:paraId="7A145DEE" w14:textId="1B78FC27" w:rsidR="00981C56" w:rsidRDefault="00981C56" w:rsidP="00AA019E"/>
    <w:p w14:paraId="0B6E26A2" w14:textId="1574A220" w:rsidR="00767728" w:rsidRDefault="000C2F02" w:rsidP="00AA019E">
      <w:r>
        <w:t xml:space="preserve">Additional Updates for the Roadmap:  </w:t>
      </w:r>
    </w:p>
    <w:p w14:paraId="5D89B410" w14:textId="77777777" w:rsidR="000C2F02" w:rsidRDefault="000C2F02" w:rsidP="00AA019E"/>
    <w:p w14:paraId="6FE40973" w14:textId="46A4DE40" w:rsidR="00DB6AFF" w:rsidRDefault="000C2F02" w:rsidP="003D7C21">
      <w:pPr>
        <w:pStyle w:val="ListParagraph"/>
        <w:numPr>
          <w:ilvl w:val="0"/>
          <w:numId w:val="33"/>
        </w:numPr>
        <w:spacing w:after="0" w:line="247" w:lineRule="auto"/>
      </w:pPr>
      <w:r w:rsidRPr="0046180D">
        <w:rPr>
          <w:b/>
          <w:bCs/>
        </w:rPr>
        <w:t>Data Procedures</w:t>
      </w:r>
      <w:r>
        <w:t>:  Data procedures as currently implemented are different than described in the Roadmap</w:t>
      </w:r>
      <w:r w:rsidR="0046180D">
        <w:t>, and if they are to be retained, they need to be updated in the Roadmap</w:t>
      </w:r>
      <w:r>
        <w:t xml:space="preserve">.  There were several years of delayed data requests, and twice, the Evaluation Committee </w:t>
      </w:r>
      <w:r w:rsidR="00BA13D9">
        <w:t>authorized</w:t>
      </w:r>
      <w:r>
        <w:t xml:space="preserve"> </w:t>
      </w:r>
      <w:r w:rsidR="0046180D">
        <w:t xml:space="preserve">the Companies to pay extra money </w:t>
      </w:r>
      <w:r w:rsidR="00DB6AFF">
        <w:t xml:space="preserve">to projects to reflect the extra costs </w:t>
      </w:r>
      <w:r w:rsidR="0046180D">
        <w:t xml:space="preserve">to </w:t>
      </w:r>
      <w:r w:rsidR="00DB6AFF">
        <w:t xml:space="preserve">the contractors – and in one case the EA Team – for data delays, errors, etc.  Significant justification was needed for these awards, and there were some aspects of data requests that the utilities thought needed greater clarification.  As a result, a multi-step data process was implemented – a fairly onerous one compared to other states.  The steps are, specifically: </w:t>
      </w:r>
    </w:p>
    <w:p w14:paraId="59615FD0" w14:textId="11B2D975" w:rsidR="00DB6AFF" w:rsidRDefault="002B0AD2" w:rsidP="003D7C21">
      <w:pPr>
        <w:pStyle w:val="ListParagraph"/>
        <w:numPr>
          <w:ilvl w:val="0"/>
          <w:numId w:val="36"/>
        </w:numPr>
        <w:spacing w:after="0" w:line="247" w:lineRule="auto"/>
      </w:pPr>
      <w:r>
        <w:t>Contractors prepare draft data request, including key information (data request number, date of request, detailed data requested,</w:t>
      </w:r>
      <w:r w:rsidR="000B5E17">
        <w:t xml:space="preserve"> requested due date, and other useful information.</w:t>
      </w:r>
      <w:r>
        <w:t xml:space="preserve">  </w:t>
      </w:r>
    </w:p>
    <w:p w14:paraId="41F469FF" w14:textId="6B8399AC" w:rsidR="002B0AD2" w:rsidRDefault="002B0AD2" w:rsidP="003D7C21">
      <w:pPr>
        <w:pStyle w:val="ListParagraph"/>
        <w:numPr>
          <w:ilvl w:val="0"/>
          <w:numId w:val="36"/>
        </w:numPr>
        <w:spacing w:after="0" w:line="247" w:lineRule="auto"/>
      </w:pPr>
      <w:r>
        <w:t>Phone call held with contractors, EA Team, and companies to discuss data request, whether data are available, what data might be better, whether the desired date for the data is feasible, etc.</w:t>
      </w:r>
      <w:r w:rsidR="000B5E17">
        <w:t xml:space="preserve">  Follow-up investigations after the call </w:t>
      </w:r>
      <w:r w:rsidR="000B5E17">
        <w:lastRenderedPageBreak/>
        <w:t>may be needed by the companies to identify availability of data once request is fully understood.</w:t>
      </w:r>
    </w:p>
    <w:p w14:paraId="1A94CA1E" w14:textId="2C975588" w:rsidR="002B0AD2" w:rsidRDefault="002B0AD2" w:rsidP="003D7C21">
      <w:pPr>
        <w:pStyle w:val="ListParagraph"/>
        <w:numPr>
          <w:ilvl w:val="0"/>
          <w:numId w:val="36"/>
        </w:numPr>
        <w:spacing w:after="0" w:line="247" w:lineRule="auto"/>
      </w:pPr>
      <w:r>
        <w:t>Contractors prepare revised data request reflecting any changes identified from the discussion</w:t>
      </w:r>
      <w:r w:rsidR="000B5E17">
        <w:t xml:space="preserve"> and request is sent to Companies</w:t>
      </w:r>
      <w:r>
        <w:t xml:space="preserve">.  </w:t>
      </w:r>
    </w:p>
    <w:p w14:paraId="4C6E125E" w14:textId="61CDE6CD" w:rsidR="000B5E17" w:rsidRDefault="000B5E17" w:rsidP="003D7C21">
      <w:pPr>
        <w:pStyle w:val="ListParagraph"/>
        <w:numPr>
          <w:ilvl w:val="0"/>
          <w:numId w:val="36"/>
        </w:numPr>
        <w:spacing w:after="0" w:line="247" w:lineRule="auto"/>
      </w:pPr>
      <w:r>
        <w:t>Emails must be received from both Companies, stating whether they agree to provide the data and by what date.</w:t>
      </w:r>
      <w:r w:rsidR="00E016EB">
        <w:t xml:space="preserve">  </w:t>
      </w:r>
    </w:p>
    <w:p w14:paraId="197AD5BA" w14:textId="6E56FA4C" w:rsidR="007F1448" w:rsidRDefault="007F1448" w:rsidP="003D7C21">
      <w:pPr>
        <w:pStyle w:val="ListParagraph"/>
        <w:numPr>
          <w:ilvl w:val="0"/>
          <w:numId w:val="36"/>
        </w:numPr>
        <w:spacing w:after="0" w:line="247" w:lineRule="auto"/>
      </w:pPr>
      <w:r>
        <w:t>All stages of data requests, progress, deliveries, problems / follow-ups, and similar communication are tracked by each contractor, and the tracking for each project is reported to the Evaluation Committee monthly.  Problems are highlighted monthly to the Evaluation Committee on an on-going basis, so advance notice of problems is provided</w:t>
      </w:r>
      <w:r w:rsidR="008B3800">
        <w:t>, and utilities are provided with advance notice if significant (and potentially cost-justifying) problems are identified</w:t>
      </w:r>
      <w:r>
        <w:t xml:space="preserve">. </w:t>
      </w:r>
    </w:p>
    <w:p w14:paraId="75AA1E19" w14:textId="77777777" w:rsidR="008A15C2" w:rsidRDefault="008A15C2" w:rsidP="008A15C2">
      <w:pPr>
        <w:spacing w:line="247" w:lineRule="auto"/>
        <w:ind w:left="360"/>
      </w:pPr>
    </w:p>
    <w:p w14:paraId="4388CE14" w14:textId="0E52D911" w:rsidR="001D3F3B" w:rsidRDefault="00DB6AFF" w:rsidP="003D7C21">
      <w:pPr>
        <w:spacing w:line="247" w:lineRule="auto"/>
        <w:ind w:left="360"/>
      </w:pPr>
      <w:r>
        <w:t xml:space="preserve">This </w:t>
      </w:r>
      <w:r w:rsidR="0046180D">
        <w:t xml:space="preserve">data process </w:t>
      </w:r>
      <w:r>
        <w:t>was a compromise, and from the EA Team side, is</w:t>
      </w:r>
      <w:r w:rsidR="002B0AD2">
        <w:t xml:space="preserve"> considerably</w:t>
      </w:r>
      <w:r>
        <w:t xml:space="preserve"> more onerous </w:t>
      </w:r>
      <w:r w:rsidR="002B0AD2">
        <w:t xml:space="preserve">for the contractors </w:t>
      </w:r>
      <w:r>
        <w:t>than most states</w:t>
      </w:r>
      <w:r w:rsidR="002B0AD2">
        <w:t>.   However, it</w:t>
      </w:r>
      <w:r>
        <w:t xml:space="preserve"> was needed because the data tracking</w:t>
      </w:r>
      <w:r w:rsidR="0046180D">
        <w:t xml:space="preserve"> / quality</w:t>
      </w:r>
      <w:r>
        <w:t xml:space="preserve"> and </w:t>
      </w:r>
      <w:r w:rsidR="0046180D">
        <w:t xml:space="preserve">data </w:t>
      </w:r>
      <w:r>
        <w:t>access</w:t>
      </w:r>
      <w:r w:rsidR="0046180D">
        <w:t xml:space="preserve"> / timeliness</w:t>
      </w:r>
      <w:r>
        <w:t xml:space="preserve"> are much weaker than other states (for UI</w:t>
      </w:r>
      <w:r w:rsidR="001D3F3B">
        <w:t>, at least, where data pulls must sometimes be requested from staff outside the US).  The EA Team feels that the core of the issue is that the utilities should be provided with a clear incentive to cooperate with data requests and provide timely data delivery</w:t>
      </w:r>
      <w:r w:rsidR="0083179C">
        <w:t xml:space="preserve"> (performance incentives)</w:t>
      </w:r>
      <w:r w:rsidR="001D3F3B">
        <w:t>,</w:t>
      </w:r>
      <w:r w:rsidR="00381F02">
        <w:rPr>
          <w:rStyle w:val="FootnoteReference"/>
        </w:rPr>
        <w:footnoteReference w:id="1"/>
      </w:r>
      <w:r w:rsidR="001D3F3B">
        <w:t xml:space="preserve"> and that the process not be made more onerous for the EA Team and contractors.</w:t>
      </w:r>
    </w:p>
    <w:p w14:paraId="1B5E21C4" w14:textId="77777777" w:rsidR="00F70DF1" w:rsidRDefault="00F70DF1" w:rsidP="003D7C21">
      <w:pPr>
        <w:spacing w:line="247" w:lineRule="auto"/>
        <w:ind w:left="360"/>
      </w:pPr>
    </w:p>
    <w:p w14:paraId="521354B2" w14:textId="176C1BF9" w:rsidR="000C2F02" w:rsidRDefault="000C2F02" w:rsidP="003D7C21">
      <w:pPr>
        <w:pStyle w:val="ListParagraph"/>
        <w:numPr>
          <w:ilvl w:val="0"/>
          <w:numId w:val="33"/>
        </w:numPr>
        <w:spacing w:after="0" w:line="247" w:lineRule="auto"/>
      </w:pPr>
      <w:r w:rsidRPr="0046180D">
        <w:rPr>
          <w:b/>
          <w:bCs/>
        </w:rPr>
        <w:t>Contracting</w:t>
      </w:r>
      <w:r>
        <w:t xml:space="preserve">:  </w:t>
      </w:r>
      <w:r w:rsidR="00E016EB">
        <w:t xml:space="preserve">Contracting delays are a problem.  They cause projects to miss PSD deadlines, and have caused contractor inefficiencies and problems including delayed contractor billings, having to conduct work for one utility first then repeat for the other, and “hurry up, then wait” costs, etc.  The EA Team believes that contracts with fewer teams may help the issues (mentioned above); however, the issue of contract maximum dollars (1 million Euros for UI) would not be resolved by this approach.  </w:t>
      </w:r>
      <w:r w:rsidR="00E016EB" w:rsidRPr="0046180D">
        <w:rPr>
          <w:i/>
          <w:iCs/>
          <w:u w:val="single"/>
        </w:rPr>
        <w:t xml:space="preserve">Nor would the underlying / core problem that the Companies have no </w:t>
      </w:r>
      <w:r w:rsidR="001D3F3B">
        <w:rPr>
          <w:i/>
          <w:iCs/>
          <w:u w:val="single"/>
        </w:rPr>
        <w:t xml:space="preserve">financial or other </w:t>
      </w:r>
      <w:r w:rsidR="00E016EB" w:rsidRPr="0046180D">
        <w:rPr>
          <w:i/>
          <w:iCs/>
          <w:u w:val="single"/>
        </w:rPr>
        <w:t>incentive to facilitate evaluation at all be resolved</w:t>
      </w:r>
      <w:r w:rsidR="00B00ED2" w:rsidRPr="0046180D">
        <w:rPr>
          <w:i/>
          <w:iCs/>
          <w:u w:val="single"/>
        </w:rPr>
        <w:t xml:space="preserve"> (for </w:t>
      </w:r>
      <w:r w:rsidR="001D3F3B">
        <w:rPr>
          <w:i/>
          <w:iCs/>
          <w:u w:val="single"/>
        </w:rPr>
        <w:t xml:space="preserve">timely </w:t>
      </w:r>
      <w:r w:rsidR="00B00ED2" w:rsidRPr="0046180D">
        <w:rPr>
          <w:i/>
          <w:iCs/>
          <w:u w:val="single"/>
        </w:rPr>
        <w:t>contracting</w:t>
      </w:r>
      <w:r w:rsidR="001D3F3B">
        <w:rPr>
          <w:i/>
          <w:iCs/>
          <w:u w:val="single"/>
        </w:rPr>
        <w:t xml:space="preserve">, </w:t>
      </w:r>
      <w:r w:rsidR="00B00ED2" w:rsidRPr="0046180D">
        <w:rPr>
          <w:i/>
          <w:iCs/>
          <w:u w:val="single"/>
        </w:rPr>
        <w:t>data delivery, etc.)</w:t>
      </w:r>
      <w:r w:rsidR="00E016EB" w:rsidRPr="0046180D">
        <w:rPr>
          <w:i/>
          <w:iCs/>
          <w:u w:val="single"/>
        </w:rPr>
        <w:t>.</w:t>
      </w:r>
      <w:r w:rsidR="00E016EB">
        <w:t xml:space="preserve">  The EA Team requests that, whether the change in number of contractors is made or not, that DEEP should consider (positive and</w:t>
      </w:r>
      <w:r w:rsidR="001D3F3B">
        <w:t>/or</w:t>
      </w:r>
      <w:r w:rsidR="00E016EB">
        <w:t>) negative financial performance metrics and incentives for utility contracting</w:t>
      </w:r>
      <w:r w:rsidR="001D3F3B">
        <w:rPr>
          <w:rStyle w:val="FootnoteReference"/>
        </w:rPr>
        <w:footnoteReference w:id="2"/>
      </w:r>
      <w:r w:rsidR="00E016EB">
        <w:t xml:space="preserve"> being fully acco</w:t>
      </w:r>
      <w:r w:rsidR="00222BE9">
        <w:t>mplished within 2 months after document delivery by the EA team</w:t>
      </w:r>
      <w:r w:rsidR="00B00ED2">
        <w:t>.</w:t>
      </w:r>
      <w:r w:rsidR="001D3F3B">
        <w:rPr>
          <w:rStyle w:val="FootnoteReference"/>
        </w:rPr>
        <w:footnoteReference w:id="3"/>
      </w:r>
      <w:r w:rsidR="00B00ED2">
        <w:t xml:space="preserve">  This has been accomplished by one of the utilities and seems a reasonable turnaround, especially if the number of contractors is reduced.</w:t>
      </w:r>
    </w:p>
    <w:p w14:paraId="02A5EB0A" w14:textId="13E59070" w:rsidR="00B00ED2" w:rsidRDefault="00B00ED2" w:rsidP="003D7C21">
      <w:pPr>
        <w:spacing w:line="247" w:lineRule="auto"/>
      </w:pPr>
    </w:p>
    <w:p w14:paraId="68E2C305" w14:textId="4783D9C1" w:rsidR="0083179C" w:rsidRDefault="0083179C" w:rsidP="003D7C21">
      <w:pPr>
        <w:spacing w:line="247" w:lineRule="auto"/>
        <w:ind w:left="360"/>
      </w:pPr>
      <w:r w:rsidRPr="003D7C21">
        <w:rPr>
          <w:b/>
          <w:bCs/>
          <w:i/>
          <w:iCs/>
          <w:u w:val="single"/>
        </w:rPr>
        <w:t xml:space="preserve">Note </w:t>
      </w:r>
      <w:r w:rsidR="008A15C2">
        <w:rPr>
          <w:b/>
          <w:bCs/>
          <w:i/>
          <w:iCs/>
          <w:u w:val="single"/>
        </w:rPr>
        <w:t>covering</w:t>
      </w:r>
      <w:r w:rsidRPr="003D7C21">
        <w:rPr>
          <w:b/>
          <w:bCs/>
          <w:i/>
          <w:iCs/>
          <w:u w:val="single"/>
        </w:rPr>
        <w:t xml:space="preserve"> Contracting and Data</w:t>
      </w:r>
      <w:r>
        <w:t>:  The lack of incentive for the utilities to perform administrative responsibilities such as data requests and contracting in a timely manner is one predictable downside of CT’s design.  We believe it would be prudent to recognize this inherent lack of incentive and design the EM&amp;V framework to provide the necessary incentives</w:t>
      </w:r>
      <w:r w:rsidR="008A15C2">
        <w:t>, as described above</w:t>
      </w:r>
      <w:r>
        <w:t>.</w:t>
      </w:r>
    </w:p>
    <w:p w14:paraId="38696531" w14:textId="77777777" w:rsidR="0083179C" w:rsidRDefault="0083179C" w:rsidP="003D7C21">
      <w:pPr>
        <w:spacing w:line="247" w:lineRule="auto"/>
      </w:pPr>
    </w:p>
    <w:p w14:paraId="59855927" w14:textId="2979ED89" w:rsidR="00362E15" w:rsidRPr="0046180D" w:rsidRDefault="00362E15" w:rsidP="003D7C21">
      <w:pPr>
        <w:pStyle w:val="ListParagraph"/>
        <w:numPr>
          <w:ilvl w:val="0"/>
          <w:numId w:val="33"/>
        </w:numPr>
        <w:autoSpaceDE w:val="0"/>
        <w:autoSpaceDN w:val="0"/>
        <w:spacing w:after="0" w:line="247" w:lineRule="auto"/>
        <w:rPr>
          <w:spacing w:val="-4"/>
        </w:rPr>
      </w:pPr>
      <w:r w:rsidRPr="0046180D">
        <w:rPr>
          <w:b/>
          <w:bCs/>
        </w:rPr>
        <w:lastRenderedPageBreak/>
        <w:t xml:space="preserve">PSD Process:  Detail on the EA Team’s Revised Suggestion for the </w:t>
      </w:r>
      <w:r w:rsidR="00742C84" w:rsidRPr="0046180D">
        <w:rPr>
          <w:b/>
          <w:bCs/>
        </w:rPr>
        <w:t xml:space="preserve">PSD </w:t>
      </w:r>
      <w:r w:rsidRPr="0046180D">
        <w:rPr>
          <w:b/>
          <w:bCs/>
        </w:rPr>
        <w:t xml:space="preserve">Update process – proposed </w:t>
      </w:r>
      <w:r w:rsidR="00742C84" w:rsidRPr="0046180D">
        <w:rPr>
          <w:b/>
          <w:bCs/>
        </w:rPr>
        <w:t>10/16</w:t>
      </w:r>
      <w:r w:rsidR="0046180D">
        <w:rPr>
          <w:b/>
          <w:bCs/>
        </w:rPr>
        <w:t xml:space="preserve"> (and </w:t>
      </w:r>
      <w:r w:rsidR="0083179C">
        <w:rPr>
          <w:b/>
          <w:bCs/>
        </w:rPr>
        <w:t>close</w:t>
      </w:r>
      <w:r w:rsidR="00676468">
        <w:rPr>
          <w:b/>
          <w:bCs/>
        </w:rPr>
        <w:t>l</w:t>
      </w:r>
      <w:r w:rsidR="0083179C">
        <w:rPr>
          <w:b/>
          <w:bCs/>
        </w:rPr>
        <w:t xml:space="preserve">y related to </w:t>
      </w:r>
      <w:r w:rsidR="00676468">
        <w:rPr>
          <w:b/>
          <w:bCs/>
        </w:rPr>
        <w:t xml:space="preserve">/ augmenting </w:t>
      </w:r>
      <w:r w:rsidR="0083179C">
        <w:rPr>
          <w:b/>
          <w:bCs/>
        </w:rPr>
        <w:t>the Utilities’ item iv above</w:t>
      </w:r>
      <w:r w:rsidR="0046180D">
        <w:rPr>
          <w:b/>
          <w:bCs/>
        </w:rPr>
        <w:t>)</w:t>
      </w:r>
      <w:r w:rsidR="00742C84">
        <w:t xml:space="preserve">: </w:t>
      </w:r>
      <w:r w:rsidR="00742C84" w:rsidRPr="0046180D">
        <w:rPr>
          <w:spacing w:val="-4"/>
        </w:rPr>
        <w:t xml:space="preserve">EA </w:t>
      </w:r>
      <w:r w:rsidRPr="0046180D">
        <w:rPr>
          <w:spacing w:val="-4"/>
        </w:rPr>
        <w:t xml:space="preserve">Team </w:t>
      </w:r>
      <w:r w:rsidR="00742C84" w:rsidRPr="0046180D">
        <w:rPr>
          <w:spacing w:val="-4"/>
        </w:rPr>
        <w:t>recommends that instead of report-by-report summary memos (with timed responses from Utility and EAs)</w:t>
      </w:r>
      <w:r w:rsidRPr="0046180D">
        <w:rPr>
          <w:spacing w:val="-4"/>
        </w:rPr>
        <w:t xml:space="preserve">, the process is undertaken once (or twice) per </w:t>
      </w:r>
      <w:r w:rsidR="00742C84" w:rsidRPr="0046180D">
        <w:rPr>
          <w:spacing w:val="-4"/>
        </w:rPr>
        <w:t>year for all reports completed in the last time period</w:t>
      </w:r>
      <w:r w:rsidRPr="0046180D">
        <w:rPr>
          <w:spacing w:val="-4"/>
        </w:rPr>
        <w:t xml:space="preserve"> – conducted at a time </w:t>
      </w:r>
      <w:r w:rsidR="00742C84" w:rsidRPr="0046180D">
        <w:rPr>
          <w:spacing w:val="-4"/>
        </w:rPr>
        <w:t>with enough lead time that it is suitable for input into the PSD review</w:t>
      </w:r>
      <w:r w:rsidR="00D77070" w:rsidRPr="0046180D">
        <w:rPr>
          <w:spacing w:val="-4"/>
        </w:rPr>
        <w:t xml:space="preserve"> (likely March / April)</w:t>
      </w:r>
      <w:r w:rsidR="00742C84" w:rsidRPr="0046180D">
        <w:rPr>
          <w:spacing w:val="-4"/>
        </w:rPr>
        <w:t xml:space="preserve">.  The steps </w:t>
      </w:r>
      <w:r w:rsidR="00D77070" w:rsidRPr="0046180D">
        <w:rPr>
          <w:spacing w:val="-4"/>
        </w:rPr>
        <w:t>were outlined as</w:t>
      </w:r>
      <w:r w:rsidRPr="0046180D">
        <w:rPr>
          <w:spacing w:val="-4"/>
        </w:rPr>
        <w:t xml:space="preserve">: </w:t>
      </w:r>
    </w:p>
    <w:p w14:paraId="5C1E78B7" w14:textId="77777777" w:rsidR="00362E15" w:rsidRPr="00D77070" w:rsidRDefault="00742C84" w:rsidP="003D7C21">
      <w:pPr>
        <w:pStyle w:val="ListParagraph"/>
        <w:numPr>
          <w:ilvl w:val="0"/>
          <w:numId w:val="37"/>
        </w:numPr>
        <w:autoSpaceDE w:val="0"/>
        <w:autoSpaceDN w:val="0"/>
        <w:spacing w:after="0" w:line="247" w:lineRule="auto"/>
        <w:rPr>
          <w:spacing w:val="-4"/>
        </w:rPr>
      </w:pPr>
      <w:r w:rsidRPr="00D77070">
        <w:rPr>
          <w:spacing w:val="-4"/>
        </w:rPr>
        <w:t>EA</w:t>
      </w:r>
      <w:r w:rsidR="00362E15" w:rsidRPr="00D77070">
        <w:rPr>
          <w:spacing w:val="-4"/>
        </w:rPr>
        <w:t xml:space="preserve"> Team</w:t>
      </w:r>
      <w:r w:rsidRPr="00D77070">
        <w:rPr>
          <w:spacing w:val="-4"/>
        </w:rPr>
        <w:t xml:space="preserve"> prepare</w:t>
      </w:r>
      <w:r w:rsidR="00362E15" w:rsidRPr="00D77070">
        <w:rPr>
          <w:spacing w:val="-4"/>
        </w:rPr>
        <w:t>s</w:t>
      </w:r>
      <w:r w:rsidRPr="00D77070">
        <w:rPr>
          <w:spacing w:val="-4"/>
        </w:rPr>
        <w:t xml:space="preserve"> memo of PSD-relevant recommendations from reports</w:t>
      </w:r>
      <w:r w:rsidR="00362E15" w:rsidRPr="00D77070">
        <w:rPr>
          <w:spacing w:val="-4"/>
        </w:rPr>
        <w:t xml:space="preserve"> (or the utilities work directly from the individual reports issued)</w:t>
      </w:r>
      <w:r w:rsidRPr="00D77070">
        <w:rPr>
          <w:spacing w:val="-4"/>
        </w:rPr>
        <w:t xml:space="preserve">, </w:t>
      </w:r>
    </w:p>
    <w:p w14:paraId="4E6638AB" w14:textId="2CFA288C" w:rsidR="00362E15" w:rsidRPr="00D77070" w:rsidRDefault="00D77070" w:rsidP="003D7C21">
      <w:pPr>
        <w:pStyle w:val="ListParagraph"/>
        <w:numPr>
          <w:ilvl w:val="0"/>
          <w:numId w:val="37"/>
        </w:numPr>
        <w:autoSpaceDE w:val="0"/>
        <w:autoSpaceDN w:val="0"/>
        <w:spacing w:after="0" w:line="247" w:lineRule="auto"/>
        <w:rPr>
          <w:spacing w:val="-4"/>
        </w:rPr>
      </w:pPr>
      <w:r>
        <w:rPr>
          <w:spacing w:val="-4"/>
        </w:rPr>
        <w:t>C</w:t>
      </w:r>
      <w:r w:rsidR="00362E15" w:rsidRPr="00D77070">
        <w:rPr>
          <w:spacing w:val="-4"/>
        </w:rPr>
        <w:t>ompanies</w:t>
      </w:r>
      <w:r w:rsidR="00742C84" w:rsidRPr="00D77070">
        <w:rPr>
          <w:spacing w:val="-4"/>
        </w:rPr>
        <w:t xml:space="preserve"> </w:t>
      </w:r>
      <w:r>
        <w:rPr>
          <w:spacing w:val="-4"/>
        </w:rPr>
        <w:t xml:space="preserve">detail </w:t>
      </w:r>
      <w:r w:rsidR="00742C84" w:rsidRPr="00D77070">
        <w:rPr>
          <w:spacing w:val="-4"/>
        </w:rPr>
        <w:t xml:space="preserve">how </w:t>
      </w:r>
      <w:r w:rsidR="00362E15" w:rsidRPr="00D77070">
        <w:rPr>
          <w:spacing w:val="-4"/>
        </w:rPr>
        <w:t>they intend to incorporate / use the results</w:t>
      </w:r>
      <w:r w:rsidR="00742C84" w:rsidRPr="00D77070">
        <w:rPr>
          <w:spacing w:val="-4"/>
        </w:rPr>
        <w:t xml:space="preserve">, and </w:t>
      </w:r>
    </w:p>
    <w:p w14:paraId="04EE240D" w14:textId="58D44263" w:rsidR="00D77070" w:rsidRDefault="00742C84" w:rsidP="003D7C21">
      <w:pPr>
        <w:pStyle w:val="ListParagraph"/>
        <w:numPr>
          <w:ilvl w:val="0"/>
          <w:numId w:val="37"/>
        </w:numPr>
        <w:autoSpaceDE w:val="0"/>
        <w:autoSpaceDN w:val="0"/>
        <w:spacing w:after="0" w:line="247" w:lineRule="auto"/>
        <w:rPr>
          <w:spacing w:val="-4"/>
        </w:rPr>
      </w:pPr>
      <w:r w:rsidRPr="00D77070">
        <w:rPr>
          <w:spacing w:val="-4"/>
        </w:rPr>
        <w:t>EA</w:t>
      </w:r>
      <w:r w:rsidR="00362E15" w:rsidRPr="00D77070">
        <w:rPr>
          <w:spacing w:val="-4"/>
        </w:rPr>
        <w:t xml:space="preserve"> Team </w:t>
      </w:r>
      <w:r w:rsidR="00D77070" w:rsidRPr="00D77070">
        <w:rPr>
          <w:spacing w:val="-4"/>
        </w:rPr>
        <w:t>prepares a memo</w:t>
      </w:r>
      <w:r w:rsidR="00915E4C">
        <w:rPr>
          <w:spacing w:val="-4"/>
        </w:rPr>
        <w:t xml:space="preserve"> (suggest within 30 days) </w:t>
      </w:r>
      <w:r w:rsidR="00D77070" w:rsidRPr="00D77070">
        <w:rPr>
          <w:spacing w:val="-4"/>
        </w:rPr>
        <w:t xml:space="preserve">that </w:t>
      </w:r>
      <w:r w:rsidRPr="00D77070">
        <w:rPr>
          <w:spacing w:val="-4"/>
        </w:rPr>
        <w:t>note</w:t>
      </w:r>
      <w:r w:rsidR="00362E15" w:rsidRPr="00D77070">
        <w:rPr>
          <w:spacing w:val="-4"/>
        </w:rPr>
        <w:t>s</w:t>
      </w:r>
      <w:r w:rsidRPr="00D77070">
        <w:rPr>
          <w:spacing w:val="-4"/>
        </w:rPr>
        <w:t xml:space="preserve"> gaps </w:t>
      </w:r>
      <w:r w:rsidR="00D77070" w:rsidRPr="00D77070">
        <w:rPr>
          <w:spacing w:val="-4"/>
        </w:rPr>
        <w:t xml:space="preserve">/ treatments </w:t>
      </w:r>
      <w:r w:rsidRPr="00D77070">
        <w:rPr>
          <w:spacing w:val="-4"/>
        </w:rPr>
        <w:t>of concern.</w:t>
      </w:r>
    </w:p>
    <w:p w14:paraId="42DBA954" w14:textId="63446D1C" w:rsidR="00093BC5" w:rsidRPr="009C3986" w:rsidRDefault="00D77070" w:rsidP="003D7C21">
      <w:pPr>
        <w:pStyle w:val="ListParagraph"/>
        <w:numPr>
          <w:ilvl w:val="0"/>
          <w:numId w:val="37"/>
        </w:numPr>
        <w:autoSpaceDE w:val="0"/>
        <w:autoSpaceDN w:val="0"/>
        <w:spacing w:after="0" w:line="247" w:lineRule="auto"/>
        <w:rPr>
          <w:spacing w:val="-4"/>
        </w:rPr>
      </w:pPr>
      <w:r>
        <w:rPr>
          <w:spacing w:val="-4"/>
        </w:rPr>
        <w:t xml:space="preserve">If there are items of note, EA team presents the issues to the </w:t>
      </w:r>
      <w:r w:rsidR="00915E4C">
        <w:rPr>
          <w:spacing w:val="-4"/>
        </w:rPr>
        <w:t xml:space="preserve">(next) </w:t>
      </w:r>
      <w:r>
        <w:rPr>
          <w:spacing w:val="-4"/>
        </w:rPr>
        <w:t xml:space="preserve">Evaluation </w:t>
      </w:r>
      <w:r w:rsidRPr="009C3986">
        <w:rPr>
          <w:spacing w:val="-4"/>
        </w:rPr>
        <w:t xml:space="preserve">Committee (for </w:t>
      </w:r>
      <w:r w:rsidR="009C3986" w:rsidRPr="009C3986">
        <w:rPr>
          <w:spacing w:val="-4"/>
        </w:rPr>
        <w:t xml:space="preserve">support, </w:t>
      </w:r>
      <w:r w:rsidRPr="009C3986">
        <w:rPr>
          <w:spacing w:val="-4"/>
        </w:rPr>
        <w:t xml:space="preserve">agreement, resolution, </w:t>
      </w:r>
      <w:r w:rsidR="009C3986" w:rsidRPr="009C3986">
        <w:rPr>
          <w:spacing w:val="-4"/>
        </w:rPr>
        <w:t xml:space="preserve">or </w:t>
      </w:r>
      <w:r w:rsidRPr="009C3986">
        <w:rPr>
          <w:spacing w:val="-4"/>
        </w:rPr>
        <w:t>next steps).</w:t>
      </w:r>
    </w:p>
    <w:p w14:paraId="4EC7CB27" w14:textId="5FAA5BED" w:rsidR="00D77070" w:rsidRPr="009C3986" w:rsidRDefault="009C3986" w:rsidP="003D7C21">
      <w:pPr>
        <w:pStyle w:val="ListParagraph"/>
        <w:numPr>
          <w:ilvl w:val="0"/>
          <w:numId w:val="37"/>
        </w:numPr>
        <w:autoSpaceDE w:val="0"/>
        <w:autoSpaceDN w:val="0"/>
        <w:spacing w:after="0" w:line="247" w:lineRule="auto"/>
        <w:rPr>
          <w:spacing w:val="-4"/>
        </w:rPr>
      </w:pPr>
      <w:r w:rsidRPr="009C3986">
        <w:rPr>
          <w:rFonts w:eastAsia="Times New Roman"/>
          <w:spacing w:val="-4"/>
        </w:rPr>
        <w:t xml:space="preserve">Note this process should be coordinated with </w:t>
      </w:r>
      <w:r w:rsidR="00093BC5" w:rsidRPr="009C3986">
        <w:rPr>
          <w:rFonts w:eastAsia="Times New Roman"/>
          <w:spacing w:val="-4"/>
        </w:rPr>
        <w:t xml:space="preserve">Technical Consultant input into PSD updates.  </w:t>
      </w:r>
      <w:r w:rsidRPr="009C3986">
        <w:rPr>
          <w:rFonts w:eastAsia="Times New Roman"/>
          <w:spacing w:val="-4"/>
        </w:rPr>
        <w:t xml:space="preserve">The existing process also includes a </w:t>
      </w:r>
      <w:r w:rsidR="00093BC5" w:rsidRPr="009C3986">
        <w:rPr>
          <w:rFonts w:eastAsia="Times New Roman"/>
          <w:spacing w:val="-4"/>
        </w:rPr>
        <w:t xml:space="preserve">part of the filing in the Plan </w:t>
      </w:r>
      <w:r w:rsidRPr="009C3986">
        <w:rPr>
          <w:rFonts w:eastAsia="Times New Roman"/>
          <w:spacing w:val="-4"/>
        </w:rPr>
        <w:t xml:space="preserve">that </w:t>
      </w:r>
      <w:r w:rsidR="00093BC5" w:rsidRPr="009C3986">
        <w:rPr>
          <w:rFonts w:eastAsia="Times New Roman"/>
          <w:spacing w:val="-4"/>
        </w:rPr>
        <w:t xml:space="preserve">includes a memo noting the changes that were incorporated, and </w:t>
      </w:r>
      <w:r w:rsidRPr="009C3986">
        <w:rPr>
          <w:rFonts w:eastAsia="Times New Roman"/>
          <w:spacing w:val="-4"/>
        </w:rPr>
        <w:t>this should be retained</w:t>
      </w:r>
      <w:r w:rsidR="00093BC5" w:rsidRPr="009C3986">
        <w:rPr>
          <w:rFonts w:eastAsia="Times New Roman"/>
          <w:spacing w:val="-4"/>
        </w:rPr>
        <w:t xml:space="preserve"> (about Chapter 8 or 9 of </w:t>
      </w:r>
      <w:r w:rsidRPr="009C3986">
        <w:rPr>
          <w:rFonts w:eastAsia="Times New Roman"/>
          <w:spacing w:val="-4"/>
        </w:rPr>
        <w:t>the P</w:t>
      </w:r>
      <w:r w:rsidR="00093BC5" w:rsidRPr="009C3986">
        <w:rPr>
          <w:rFonts w:eastAsia="Times New Roman"/>
          <w:spacing w:val="-4"/>
        </w:rPr>
        <w:t>lan).</w:t>
      </w:r>
      <w:r w:rsidR="00D77070" w:rsidRPr="009C3986">
        <w:rPr>
          <w:spacing w:val="-4"/>
        </w:rPr>
        <w:t xml:space="preserve">  </w:t>
      </w:r>
    </w:p>
    <w:p w14:paraId="1FB988AD" w14:textId="77777777" w:rsidR="008A15C2" w:rsidRDefault="008A15C2" w:rsidP="008A15C2">
      <w:pPr>
        <w:autoSpaceDE w:val="0"/>
        <w:autoSpaceDN w:val="0"/>
        <w:spacing w:line="247" w:lineRule="auto"/>
        <w:ind w:left="360"/>
        <w:rPr>
          <w:spacing w:val="-4"/>
          <w:u w:val="single"/>
        </w:rPr>
      </w:pPr>
    </w:p>
    <w:p w14:paraId="4A150638" w14:textId="459A5E96" w:rsidR="00742C84" w:rsidRDefault="00D77070" w:rsidP="003D7C21">
      <w:pPr>
        <w:autoSpaceDE w:val="0"/>
        <w:autoSpaceDN w:val="0"/>
        <w:spacing w:line="247" w:lineRule="auto"/>
        <w:ind w:left="360"/>
      </w:pPr>
      <w:r w:rsidRPr="009C3986">
        <w:rPr>
          <w:spacing w:val="-4"/>
          <w:u w:val="single"/>
        </w:rPr>
        <w:t>The committee agreed to this process in</w:t>
      </w:r>
      <w:r w:rsidR="008A15C2">
        <w:rPr>
          <w:spacing w:val="-4"/>
          <w:u w:val="single"/>
        </w:rPr>
        <w:t xml:space="preserve"> meetings in</w:t>
      </w:r>
      <w:r w:rsidRPr="00D77070">
        <w:rPr>
          <w:spacing w:val="-4"/>
          <w:u w:val="single"/>
        </w:rPr>
        <w:t xml:space="preserve"> Oct-Dec 2016, but the Roadm</w:t>
      </w:r>
      <w:r>
        <w:rPr>
          <w:spacing w:val="-4"/>
          <w:u w:val="single"/>
        </w:rPr>
        <w:t>ap</w:t>
      </w:r>
      <w:r w:rsidRPr="00D77070">
        <w:rPr>
          <w:spacing w:val="-4"/>
          <w:u w:val="single"/>
        </w:rPr>
        <w:t xml:space="preserve"> was not updated at that time</w:t>
      </w:r>
      <w:r>
        <w:rPr>
          <w:spacing w:val="-4"/>
        </w:rPr>
        <w:t>.</w:t>
      </w:r>
      <w:r w:rsidR="00416BBA">
        <w:rPr>
          <w:rStyle w:val="FootnoteReference"/>
          <w:spacing w:val="-4"/>
        </w:rPr>
        <w:footnoteReference w:id="4"/>
      </w:r>
      <w:r>
        <w:rPr>
          <w:spacing w:val="-4"/>
        </w:rPr>
        <w:t xml:space="preserve">  DEEP noted </w:t>
      </w:r>
      <w:r w:rsidR="00742C84" w:rsidRPr="00742C84">
        <w:rPr>
          <w:spacing w:val="-4"/>
        </w:rPr>
        <w:t xml:space="preserve">there is a summary table that is developed in PSD revision process that may </w:t>
      </w:r>
      <w:r w:rsidR="008A15C2">
        <w:rPr>
          <w:spacing w:val="-4"/>
        </w:rPr>
        <w:t xml:space="preserve">also provide </w:t>
      </w:r>
      <w:r w:rsidR="00742C84" w:rsidRPr="00742C84">
        <w:rPr>
          <w:spacing w:val="-4"/>
        </w:rPr>
        <w:t>helpful input.</w:t>
      </w:r>
    </w:p>
    <w:p w14:paraId="2A96AC1D" w14:textId="77777777" w:rsidR="008B3800" w:rsidRDefault="008B3800" w:rsidP="003D7C21">
      <w:pPr>
        <w:autoSpaceDE w:val="0"/>
        <w:autoSpaceDN w:val="0"/>
        <w:spacing w:line="247" w:lineRule="auto"/>
        <w:rPr>
          <w:rFonts w:eastAsia="Times New Roman"/>
          <w:spacing w:val="-4"/>
        </w:rPr>
      </w:pPr>
    </w:p>
    <w:p w14:paraId="78CCAC1D" w14:textId="0BCEB777" w:rsidR="008B3800" w:rsidRPr="0046180D" w:rsidRDefault="00093BC5" w:rsidP="003D7C21">
      <w:pPr>
        <w:pStyle w:val="ListParagraph"/>
        <w:numPr>
          <w:ilvl w:val="0"/>
          <w:numId w:val="33"/>
        </w:numPr>
        <w:autoSpaceDE w:val="0"/>
        <w:autoSpaceDN w:val="0"/>
        <w:spacing w:after="0" w:line="247" w:lineRule="auto"/>
        <w:rPr>
          <w:rFonts w:eastAsia="Times New Roman"/>
        </w:rPr>
      </w:pPr>
      <w:r w:rsidRPr="0046180D">
        <w:rPr>
          <w:rFonts w:eastAsia="Times New Roman"/>
          <w:b/>
          <w:bCs/>
          <w:spacing w:val="-4"/>
        </w:rPr>
        <w:t xml:space="preserve">Overall </w:t>
      </w:r>
      <w:r w:rsidR="008B3800" w:rsidRPr="0046180D">
        <w:rPr>
          <w:rFonts w:eastAsia="Times New Roman"/>
          <w:b/>
          <w:bCs/>
          <w:spacing w:val="-4"/>
        </w:rPr>
        <w:t>Changes to the Roadmap document</w:t>
      </w:r>
      <w:r w:rsidR="008B3800" w:rsidRPr="0046180D">
        <w:rPr>
          <w:rFonts w:eastAsia="Times New Roman"/>
          <w:spacing w:val="-4"/>
        </w:rPr>
        <w:t xml:space="preserve">:  </w:t>
      </w:r>
    </w:p>
    <w:p w14:paraId="6118264C" w14:textId="275DA469" w:rsidR="008B3800" w:rsidRPr="00DB2E35" w:rsidRDefault="008B3800" w:rsidP="003D7C21">
      <w:pPr>
        <w:pStyle w:val="ListParagraph"/>
        <w:numPr>
          <w:ilvl w:val="0"/>
          <w:numId w:val="35"/>
        </w:numPr>
        <w:autoSpaceDE w:val="0"/>
        <w:autoSpaceDN w:val="0"/>
        <w:spacing w:after="0" w:line="247" w:lineRule="auto"/>
        <w:rPr>
          <w:rFonts w:eastAsia="Times New Roman"/>
        </w:rPr>
      </w:pPr>
      <w:r w:rsidRPr="00DB2E35">
        <w:rPr>
          <w:rFonts w:eastAsia="Times New Roman"/>
          <w:spacing w:val="-4"/>
        </w:rPr>
        <w:t xml:space="preserve">Reconfirm underlying </w:t>
      </w:r>
      <w:r w:rsidR="0046180D">
        <w:rPr>
          <w:rFonts w:eastAsia="Times New Roman"/>
          <w:spacing w:val="-4"/>
        </w:rPr>
        <w:t>objective</w:t>
      </w:r>
      <w:r w:rsidRPr="00DB2E35">
        <w:rPr>
          <w:rFonts w:eastAsia="Times New Roman"/>
          <w:spacing w:val="-4"/>
        </w:rPr>
        <w:t xml:space="preserve"> to avoid opportunities for </w:t>
      </w:r>
      <w:r w:rsidR="0083179C">
        <w:rPr>
          <w:rFonts w:eastAsia="Times New Roman"/>
          <w:spacing w:val="-4"/>
        </w:rPr>
        <w:t xml:space="preserve">undue </w:t>
      </w:r>
      <w:r w:rsidRPr="00DB2E35">
        <w:rPr>
          <w:rFonts w:eastAsia="Times New Roman"/>
          <w:spacing w:val="-4"/>
        </w:rPr>
        <w:t xml:space="preserve">influence in the design / conduct of evaluation studies.  </w:t>
      </w:r>
    </w:p>
    <w:p w14:paraId="7D54BE76" w14:textId="2D4C8834" w:rsidR="008B3800" w:rsidRPr="00DB2E35" w:rsidRDefault="008B3800" w:rsidP="003D7C21">
      <w:pPr>
        <w:pStyle w:val="ListParagraph"/>
        <w:numPr>
          <w:ilvl w:val="0"/>
          <w:numId w:val="35"/>
        </w:numPr>
        <w:autoSpaceDE w:val="0"/>
        <w:autoSpaceDN w:val="0"/>
        <w:spacing w:after="0" w:line="247" w:lineRule="auto"/>
        <w:rPr>
          <w:rFonts w:eastAsia="Times New Roman"/>
        </w:rPr>
      </w:pPr>
      <w:r w:rsidRPr="00DB2E35">
        <w:rPr>
          <w:rFonts w:eastAsia="Times New Roman"/>
          <w:spacing w:val="-4"/>
        </w:rPr>
        <w:t xml:space="preserve">Shorten / reduce </w:t>
      </w:r>
      <w:r w:rsidR="00767728" w:rsidRPr="00DB2E35">
        <w:rPr>
          <w:rFonts w:eastAsia="Times New Roman"/>
          <w:spacing w:val="-4"/>
        </w:rPr>
        <w:t xml:space="preserve">avoid repetition, more bullets, omit flow charts, and </w:t>
      </w:r>
      <w:r w:rsidR="0083179C">
        <w:rPr>
          <w:rFonts w:eastAsia="Times New Roman"/>
          <w:spacing w:val="-4"/>
        </w:rPr>
        <w:t xml:space="preserve">revise </w:t>
      </w:r>
      <w:r w:rsidR="00767728" w:rsidRPr="00DB2E35">
        <w:rPr>
          <w:rFonts w:eastAsia="Times New Roman"/>
          <w:spacing w:val="-4"/>
        </w:rPr>
        <w:t xml:space="preserve">some content to try to streamline and make it possible to stay within budget.  </w:t>
      </w:r>
    </w:p>
    <w:p w14:paraId="3F028DEA" w14:textId="09E76E29" w:rsidR="00093BC5" w:rsidRPr="00DB2E35" w:rsidRDefault="00093BC5" w:rsidP="003D7C21">
      <w:pPr>
        <w:pStyle w:val="ListParagraph"/>
        <w:numPr>
          <w:ilvl w:val="0"/>
          <w:numId w:val="35"/>
        </w:numPr>
        <w:autoSpaceDE w:val="0"/>
        <w:autoSpaceDN w:val="0"/>
        <w:spacing w:after="0" w:line="247" w:lineRule="auto"/>
        <w:rPr>
          <w:rFonts w:eastAsia="Times New Roman"/>
        </w:rPr>
      </w:pPr>
      <w:r w:rsidRPr="00DB2E35">
        <w:rPr>
          <w:spacing w:val="-4"/>
        </w:rPr>
        <w:t>Main underlying issues are: getting clear understanding of project scopes to committees, more effective communication options; realistic expectations on data requests; transparency and efficiency on “mini-RFP” process (for auditors too); and balance supporting EA independence. </w:t>
      </w:r>
    </w:p>
    <w:p w14:paraId="72A3FC09" w14:textId="77777777" w:rsidR="00093BC5" w:rsidRPr="00DB2E35" w:rsidRDefault="008B3800" w:rsidP="003D7C21">
      <w:pPr>
        <w:pStyle w:val="ListParagraph"/>
        <w:numPr>
          <w:ilvl w:val="0"/>
          <w:numId w:val="35"/>
        </w:numPr>
        <w:autoSpaceDE w:val="0"/>
        <w:autoSpaceDN w:val="0"/>
        <w:spacing w:after="0" w:line="247" w:lineRule="auto"/>
        <w:rPr>
          <w:rFonts w:eastAsia="Times New Roman"/>
        </w:rPr>
      </w:pPr>
      <w:r w:rsidRPr="00DB2E35">
        <w:rPr>
          <w:rFonts w:eastAsia="Times New Roman"/>
          <w:spacing w:val="-4"/>
        </w:rPr>
        <w:t xml:space="preserve">Reflect changes mentioned above.  </w:t>
      </w:r>
    </w:p>
    <w:p w14:paraId="2AD100A4" w14:textId="56E563B6" w:rsidR="00767728" w:rsidRDefault="00767728" w:rsidP="003D7C21">
      <w:pPr>
        <w:spacing w:line="247" w:lineRule="auto"/>
      </w:pPr>
    </w:p>
    <w:p w14:paraId="197F51D6" w14:textId="77777777" w:rsidR="00AA019E" w:rsidRDefault="00AA019E" w:rsidP="003D7C21">
      <w:pPr>
        <w:spacing w:line="247" w:lineRule="auto"/>
      </w:pPr>
    </w:p>
    <w:sectPr w:rsidR="00AA019E" w:rsidSect="00130742">
      <w:footerReference w:type="default" r:id="rId14"/>
      <w:pgSz w:w="12240" w:h="15840"/>
      <w:pgMar w:top="1440" w:right="288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Lisa Skumatz" w:date="2020-01-25T13:01:00Z" w:initials="LS">
    <w:p w14:paraId="2C79A817" w14:textId="6780FDD2" w:rsidR="000B5E17" w:rsidRDefault="000B5E17">
      <w:pPr>
        <w:pStyle w:val="CommentText"/>
      </w:pPr>
      <w:r w:rsidRPr="00AA019E">
        <w:rPr>
          <w:rStyle w:val="CommentReference"/>
          <w:b/>
          <w:bCs/>
          <w:i/>
          <w:iCs/>
        </w:rPr>
        <w:annotationRef/>
      </w:r>
      <w:r w:rsidRPr="00AA019E">
        <w:rPr>
          <w:b/>
          <w:bCs/>
          <w:i/>
          <w:iCs/>
        </w:rPr>
        <w:t xml:space="preserve">EA Team </w:t>
      </w:r>
      <w:r>
        <w:rPr>
          <w:b/>
          <w:bCs/>
          <w:i/>
          <w:iCs/>
        </w:rPr>
        <w:t xml:space="preserve">Fully </w:t>
      </w:r>
      <w:r w:rsidRPr="00AA019E">
        <w:rPr>
          <w:b/>
          <w:bCs/>
          <w:i/>
          <w:iCs/>
        </w:rPr>
        <w:t>Supports</w:t>
      </w:r>
      <w:r>
        <w:t xml:space="preserve">.  The EA Team incorporated this change a year ago.  We did precisely this in late 2018 as part of the process of developing the 2019-2021 Evaluation Plan.  This is represented by project number “X1940 – 2020-21 Study of Emerging Issues”.  The Utilities, Evaluation Committee, and DEEP supported this untraditional change in their vote for the Plan. </w:t>
      </w:r>
      <w:r w:rsidRPr="00281505">
        <w:rPr>
          <w:i/>
          <w:iCs/>
        </w:rPr>
        <w:t>(No change to Roadmap needed)</w:t>
      </w:r>
    </w:p>
  </w:comment>
  <w:comment w:id="2" w:author="Lisa Skumatz" w:date="2020-01-27T10:45:00Z" w:initials="LS">
    <w:p w14:paraId="38DC7DBB" w14:textId="603A48EC" w:rsidR="000B5E17" w:rsidRDefault="000B5E17">
      <w:pPr>
        <w:pStyle w:val="CommentText"/>
      </w:pPr>
      <w:r>
        <w:rPr>
          <w:rStyle w:val="CommentReference"/>
        </w:rPr>
        <w:annotationRef/>
      </w:r>
      <w:r w:rsidRPr="00AA019E">
        <w:rPr>
          <w:b/>
          <w:bCs/>
          <w:i/>
          <w:iCs/>
        </w:rPr>
        <w:t>EA Team Supports</w:t>
      </w:r>
      <w:r>
        <w:rPr>
          <w:b/>
          <w:bCs/>
          <w:i/>
          <w:iCs/>
        </w:rPr>
        <w:t xml:space="preserve"> within Limits</w:t>
      </w:r>
      <w:r>
        <w:t xml:space="preserve">:  EA Team has supported joint initiatives in DR and residential lighting in 2019.  However, CT should take care not to abdicate local evaluation of core programs.  </w:t>
      </w:r>
      <w:r w:rsidR="005C7890">
        <w:t xml:space="preserve">Note that there are some limitations to this cooperation: states are on different strategic planning cycles, so unless both states can identify common subject and timing very early, CT / EA Team will need to have the flexibility to move on opportunities as they arise.  </w:t>
      </w:r>
      <w:r w:rsidR="005C7890" w:rsidRPr="005C7890">
        <w:rPr>
          <w:color w:val="000000" w:themeColor="text1"/>
        </w:rPr>
        <w:t xml:space="preserve">Also, for that reason, the issue interacts with unallocated budget issue: in order to jump on opportunities as they arise, we need to have some funding flexibility </w:t>
      </w:r>
      <w:r w:rsidRPr="00281505">
        <w:rPr>
          <w:i/>
          <w:iCs/>
        </w:rPr>
        <w:t>(Don’t believe change to Roadmap needed)</w:t>
      </w:r>
      <w:r w:rsidR="00DF688B" w:rsidRPr="00CA65B4">
        <w:rPr>
          <w:i/>
          <w:iCs/>
          <w:color w:val="FF0000"/>
        </w:rPr>
        <w:t>.</w:t>
      </w:r>
    </w:p>
  </w:comment>
  <w:comment w:id="3" w:author="Lisa Skumatz" w:date="2020-01-27T10:45:00Z" w:initials="LS">
    <w:p w14:paraId="1D2A29E5" w14:textId="249714DE" w:rsidR="000B5E17" w:rsidRDefault="000B5E17">
      <w:pPr>
        <w:pStyle w:val="CommentText"/>
      </w:pPr>
      <w:r>
        <w:rPr>
          <w:rStyle w:val="CommentReference"/>
        </w:rPr>
        <w:annotationRef/>
      </w:r>
      <w:r w:rsidRPr="000F44AD">
        <w:rPr>
          <w:b/>
          <w:bCs/>
          <w:i/>
          <w:iCs/>
        </w:rPr>
        <w:t xml:space="preserve">EA Team </w:t>
      </w:r>
      <w:r w:rsidR="008C5FE6">
        <w:rPr>
          <w:b/>
          <w:bCs/>
          <w:i/>
          <w:iCs/>
        </w:rPr>
        <w:t xml:space="preserve">Strongly </w:t>
      </w:r>
      <w:r w:rsidRPr="000F44AD">
        <w:rPr>
          <w:b/>
          <w:bCs/>
          <w:i/>
          <w:iCs/>
        </w:rPr>
        <w:t>Supports</w:t>
      </w:r>
      <w:r>
        <w:t xml:space="preserve">:  EA Team proposed this in 2016 after slow </w:t>
      </w:r>
      <w:r w:rsidR="008C5FE6">
        <w:t xml:space="preserve">UI </w:t>
      </w:r>
      <w:r>
        <w:t>contracting, and in October and November 2019 Evaluation Committee meetings, to address EA Team workload issues, and contractor efficiency issues.  The Evaluation Committee apparently was not in favor of this recommendation at the November</w:t>
      </w:r>
      <w:r w:rsidR="008C5FE6">
        <w:t xml:space="preserve"> 2019</w:t>
      </w:r>
      <w:r>
        <w:t xml:space="preserve"> meeting.  EA Team also supports it for the additional contracting reason provided by the utilities – as we support strategies that can help streamline contracting, which is a very large problem at present.   EA Team proposed change to more than one research area contractor (2-3 for each area)</w:t>
      </w:r>
      <w:r w:rsidR="005C7890">
        <w:t xml:space="preserve">, valid or the entire </w:t>
      </w:r>
      <w:proofErr w:type="gramStart"/>
      <w:r w:rsidR="005C7890">
        <w:t>3 year</w:t>
      </w:r>
      <w:proofErr w:type="gramEnd"/>
      <w:r w:rsidR="005C7890">
        <w:t xml:space="preserve"> cycle,</w:t>
      </w:r>
      <w:r>
        <w:t xml:space="preserve"> to retain competition for projects and mini-RFPs. </w:t>
      </w:r>
      <w:r w:rsidR="00B00ED2">
        <w:t xml:space="preserve">The EA Team recommends amending the Roadmap to allow 1) large RFP for selection of 2-3 qualified teams per research area; and </w:t>
      </w:r>
      <w:r w:rsidR="008C5FE6">
        <w:t xml:space="preserve">2) </w:t>
      </w:r>
      <w:r w:rsidR="00B00ED2">
        <w:t xml:space="preserve">issuing of mini-RFPs for individual projects </w:t>
      </w:r>
      <w:r w:rsidR="005C7890">
        <w:t xml:space="preserve">to these standing contractor teams </w:t>
      </w:r>
      <w:r w:rsidR="00B00ED2">
        <w:t>after the 1</w:t>
      </w:r>
      <w:r w:rsidR="00B00ED2" w:rsidRPr="00B00ED2">
        <w:rPr>
          <w:vertAlign w:val="superscript"/>
        </w:rPr>
        <w:t>st</w:t>
      </w:r>
      <w:r w:rsidR="00B00ED2">
        <w:t xml:space="preserve"> year.  </w:t>
      </w:r>
      <w:r>
        <w:t>(</w:t>
      </w:r>
      <w:r w:rsidRPr="00281505">
        <w:rPr>
          <w:i/>
          <w:iCs/>
        </w:rPr>
        <w:t>Research Area vendors process is currently in Roadmap; some refinement needed to incorporate multiple research area vendors).</w:t>
      </w:r>
      <w:r w:rsidR="00DF688B">
        <w:rPr>
          <w:i/>
          <w:iCs/>
        </w:rPr>
        <w:t xml:space="preserve"> </w:t>
      </w:r>
    </w:p>
  </w:comment>
  <w:comment w:id="4" w:author="Lisa Skumatz" w:date="2020-01-25T13:12:00Z" w:initials="LS">
    <w:p w14:paraId="056FBFF0" w14:textId="3641BDEE" w:rsidR="000B5E17" w:rsidRDefault="000B5E17">
      <w:pPr>
        <w:pStyle w:val="CommentText"/>
      </w:pPr>
      <w:r>
        <w:rPr>
          <w:rStyle w:val="CommentReference"/>
        </w:rPr>
        <w:annotationRef/>
      </w:r>
      <w:r w:rsidRPr="000F44AD">
        <w:rPr>
          <w:b/>
          <w:bCs/>
          <w:i/>
          <w:iCs/>
        </w:rPr>
        <w:t xml:space="preserve">EA Team </w:t>
      </w:r>
      <w:r>
        <w:rPr>
          <w:b/>
          <w:bCs/>
          <w:i/>
          <w:iCs/>
        </w:rPr>
        <w:t xml:space="preserve">Partially </w:t>
      </w:r>
      <w:r w:rsidRPr="000F44AD">
        <w:rPr>
          <w:b/>
          <w:bCs/>
          <w:i/>
          <w:iCs/>
        </w:rPr>
        <w:t>Support</w:t>
      </w:r>
      <w:r>
        <w:rPr>
          <w:b/>
          <w:bCs/>
          <w:i/>
          <w:iCs/>
        </w:rPr>
        <w:t>s</w:t>
      </w:r>
      <w:r>
        <w:t>:  EA Team is happy to receive input on the vendors that have bid in general, but not related to their selection for specific projects.  That should rest with the evaluation expertise and independence of the EA Team. (</w:t>
      </w:r>
      <w:r w:rsidRPr="00281505">
        <w:rPr>
          <w:i/>
          <w:iCs/>
        </w:rPr>
        <w:t>Not in Roadmap, unlikely necessary)</w:t>
      </w:r>
    </w:p>
  </w:comment>
  <w:comment w:id="5" w:author="Lisa Skumatz" w:date="2020-01-27T10:50:00Z" w:initials="LS">
    <w:p w14:paraId="36A74801" w14:textId="22991341" w:rsidR="000B5E17" w:rsidRDefault="000B5E17">
      <w:pPr>
        <w:pStyle w:val="CommentText"/>
      </w:pPr>
      <w:r>
        <w:rPr>
          <w:rStyle w:val="CommentReference"/>
        </w:rPr>
        <w:annotationRef/>
      </w:r>
      <w:r w:rsidRPr="000F44AD">
        <w:rPr>
          <w:b/>
          <w:bCs/>
          <w:i/>
          <w:iCs/>
        </w:rPr>
        <w:t>EA Team Supports</w:t>
      </w:r>
      <w:r>
        <w:t>:  EA Team already provides multiple points for the Companies, Technical Consultants (TCs) and Evaluation Committee on the selection of programs to evaluate and the projects in the Evaluation Plan.  This includes: 1) a direct solicitation for Evaluation Project concepts up-front in Evaluation Plan Development (</w:t>
      </w:r>
      <w:r w:rsidR="005C42BE">
        <w:t>3-year</w:t>
      </w:r>
      <w:r>
        <w:t xml:space="preserve"> plan and annual updates), and 2) extensive input during the multiple discussions of the projects under consideration in the Plan. </w:t>
      </w:r>
      <w:r w:rsidRPr="00281505">
        <w:rPr>
          <w:i/>
          <w:iCs/>
        </w:rPr>
        <w:t>(Review whether Roadmap changes needed)</w:t>
      </w:r>
      <w:r w:rsidR="00DF688B">
        <w:rPr>
          <w:i/>
          <w:iCs/>
        </w:rPr>
        <w:t xml:space="preserve"> </w:t>
      </w:r>
    </w:p>
  </w:comment>
  <w:comment w:id="6" w:author="Lisa Skumatz" w:date="2020-01-27T10:51:00Z" w:initials="LS">
    <w:p w14:paraId="5E33FFD0" w14:textId="53083C20" w:rsidR="000B5E17" w:rsidRDefault="000B5E17">
      <w:pPr>
        <w:pStyle w:val="CommentText"/>
      </w:pPr>
      <w:r>
        <w:rPr>
          <w:rStyle w:val="CommentReference"/>
        </w:rPr>
        <w:annotationRef/>
      </w:r>
      <w:r w:rsidRPr="00DF0C53">
        <w:rPr>
          <w:b/>
          <w:bCs/>
          <w:i/>
          <w:iCs/>
        </w:rPr>
        <w:t>EA Partially Supports</w:t>
      </w:r>
      <w:r>
        <w:t>:  EA Team currently provides three points of input (PLUS next bullet-initial interviews) to the draft project work plans. 1) During discussions of the projects during Evaluation Plan development / update; i2) Companies provide review / edits to the RFP that goes out for the projects, and 3) Utility input is solicited during detailed Kickoffs held for each project.  We believe these points of input (plus next bullet) are sufficient opportunities for input in design while also maintaining independence, efficiency, and relying on EA Team for</w:t>
      </w:r>
      <w:r w:rsidR="00093BC5">
        <w:t xml:space="preserve"> work plans / project</w:t>
      </w:r>
      <w:r>
        <w:t xml:space="preserve"> details.</w:t>
      </w:r>
      <w:r w:rsidR="00093BC5">
        <w:t xml:space="preserve">  This balances input with the fact that the EA Team has a very limited budget.</w:t>
      </w:r>
      <w:r>
        <w:t xml:space="preserve"> (</w:t>
      </w:r>
      <w:r w:rsidR="005C42BE" w:rsidRPr="00281505">
        <w:rPr>
          <w:i/>
          <w:iCs/>
        </w:rPr>
        <w:t>generally,</w:t>
      </w:r>
      <w:r w:rsidRPr="00281505">
        <w:rPr>
          <w:i/>
          <w:iCs/>
        </w:rPr>
        <w:t xml:space="preserve"> in Roadmap</w:t>
      </w:r>
      <w:r>
        <w:rPr>
          <w:i/>
          <w:iCs/>
        </w:rPr>
        <w:t xml:space="preserve"> /some refinements</w:t>
      </w:r>
      <w:r>
        <w:t>)</w:t>
      </w:r>
      <w:r w:rsidR="00DF688B">
        <w:t xml:space="preserve"> </w:t>
      </w:r>
    </w:p>
  </w:comment>
  <w:comment w:id="7" w:author="Lisa Skumatz" w:date="2020-01-25T13:32:00Z" w:initials="LS">
    <w:p w14:paraId="194274BB" w14:textId="5A024227" w:rsidR="000B5E17" w:rsidRDefault="000B5E17">
      <w:pPr>
        <w:pStyle w:val="CommentText"/>
      </w:pPr>
      <w:r>
        <w:rPr>
          <w:rStyle w:val="CommentReference"/>
        </w:rPr>
        <w:annotationRef/>
      </w:r>
      <w:r w:rsidRPr="00DF0C53">
        <w:rPr>
          <w:b/>
          <w:bCs/>
          <w:i/>
          <w:iCs/>
        </w:rPr>
        <w:t xml:space="preserve">EA Team </w:t>
      </w:r>
      <w:r>
        <w:rPr>
          <w:b/>
          <w:bCs/>
          <w:i/>
          <w:iCs/>
        </w:rPr>
        <w:t xml:space="preserve">Strongly </w:t>
      </w:r>
      <w:r w:rsidRPr="00DF0C53">
        <w:rPr>
          <w:b/>
          <w:bCs/>
          <w:i/>
          <w:iCs/>
        </w:rPr>
        <w:t>Supports</w:t>
      </w:r>
      <w:r>
        <w:t xml:space="preserve">:  EA Team believes input is vital.  EA Team cannot know all there is to know about the programs, implementation and emerging issues.  </w:t>
      </w:r>
      <w:r w:rsidR="0083179C">
        <w:t xml:space="preserve">The </w:t>
      </w:r>
      <w:r>
        <w:t>Roadmap generally bans this communication.  As a workaround, in the past, Skumatz interviewed Companies and TCs and attempted to pass information along, but for greater efficiency, EA Team instituted unofficial meetings with both Companies, and with TCs as an integral information source for the development of every project in the 2019 cohort of projects.  We support adding the ability to conduct these meetings</w:t>
      </w:r>
      <w:r w:rsidR="0083179C">
        <w:t>; they provide valuable input and can be structured to avoid concerns about possible undue influence</w:t>
      </w:r>
      <w:r>
        <w:t>. (</w:t>
      </w:r>
      <w:r w:rsidRPr="00281505">
        <w:rPr>
          <w:i/>
          <w:iCs/>
        </w:rPr>
        <w:t>add to Roadmap</w:t>
      </w:r>
      <w:r>
        <w:t xml:space="preserve">). </w:t>
      </w:r>
    </w:p>
  </w:comment>
  <w:comment w:id="8" w:author="Lisa Skumatz" w:date="2020-01-25T13:49:00Z" w:initials="LS">
    <w:p w14:paraId="6F0E9436" w14:textId="0351AE83" w:rsidR="000B5E17" w:rsidRDefault="000B5E17">
      <w:pPr>
        <w:pStyle w:val="CommentText"/>
      </w:pPr>
      <w:r>
        <w:rPr>
          <w:rStyle w:val="CommentReference"/>
        </w:rPr>
        <w:annotationRef/>
      </w:r>
      <w:r w:rsidRPr="00163347">
        <w:rPr>
          <w:b/>
          <w:bCs/>
          <w:i/>
          <w:iCs/>
        </w:rPr>
        <w:t>EA Team</w:t>
      </w:r>
      <w:r>
        <w:rPr>
          <w:b/>
          <w:bCs/>
          <w:i/>
          <w:iCs/>
        </w:rPr>
        <w:t xml:space="preserve"> Strongly</w:t>
      </w:r>
      <w:r w:rsidRPr="00163347">
        <w:rPr>
          <w:b/>
          <w:bCs/>
          <w:i/>
          <w:iCs/>
        </w:rPr>
        <w:t xml:space="preserve"> Supports</w:t>
      </w:r>
      <w:r>
        <w:t xml:space="preserve">:  The EA Team would welcome more input from Companies (and potentially TCs) as issues are uncovered.  We envision invitations to calls attended by EA Team or EA Team and contractors.  This would help speed the information transfer process; EA Team member attendance assures independence / lack of </w:t>
      </w:r>
      <w:r w:rsidR="0083179C">
        <w:t xml:space="preserve">undue </w:t>
      </w:r>
      <w:r>
        <w:t>influence is maintained</w:t>
      </w:r>
      <w:r w:rsidR="005C7890">
        <w:t xml:space="preserve"> and be integrated into the process in a way that is mindful of EA Team’s limited budget</w:t>
      </w:r>
      <w:r>
        <w:t xml:space="preserve">.  </w:t>
      </w:r>
      <w:r w:rsidRPr="003B7BA6">
        <w:rPr>
          <w:i/>
          <w:iCs/>
        </w:rPr>
        <w:t>(Needs Roadmap update)</w:t>
      </w:r>
    </w:p>
  </w:comment>
  <w:comment w:id="9" w:author="Lisa Skumatz" w:date="2020-01-25T13:50:00Z" w:initials="LS">
    <w:p w14:paraId="4F6DE909" w14:textId="298B7D86" w:rsidR="000B5E17" w:rsidRDefault="000B5E17">
      <w:pPr>
        <w:pStyle w:val="CommentText"/>
      </w:pPr>
      <w:r>
        <w:rPr>
          <w:rStyle w:val="CommentReference"/>
        </w:rPr>
        <w:annotationRef/>
      </w:r>
      <w:r w:rsidRPr="00163347">
        <w:rPr>
          <w:b/>
          <w:bCs/>
          <w:i/>
          <w:iCs/>
        </w:rPr>
        <w:t>EA Team Partly Supports</w:t>
      </w:r>
      <w:r>
        <w:t>:  EA Team has long been concerned about making sure evaluations are as timely as possible.  A 4/16 study (R31, conducted with R4) pilot tested real-time evaluation procedures (</w:t>
      </w:r>
      <w:r w:rsidRPr="00F67B90">
        <w:rPr>
          <w:i/>
          <w:iCs/>
        </w:rPr>
        <w:t>a la</w:t>
      </w:r>
      <w:r>
        <w:t xml:space="preserve"> Energy Trust of Oregon) using quarterly feedback / evaluation process surveys to gain immediate feedback for evaluation, allowing evaluations to commence at any time.  </w:t>
      </w:r>
      <w:r w:rsidR="00BA4759">
        <w:t xml:space="preserve">PA also uses a process that collects M&amp;V data as projects complete, speeding turnaround of evaluations.  </w:t>
      </w:r>
      <w:r>
        <w:t xml:space="preserve">Tight budgets, </w:t>
      </w:r>
      <w:r w:rsidR="00BA4759">
        <w:t xml:space="preserve">traditionally </w:t>
      </w:r>
      <w:r>
        <w:t xml:space="preserve">low EC interest beyond impact evaluations, and a complicated Evaluation Plan project </w:t>
      </w:r>
      <w:r w:rsidR="00BA4759">
        <w:t xml:space="preserve">/ </w:t>
      </w:r>
      <w:r>
        <w:t>contractor selection process have left this on the back burner.  We encourage consideration of th</w:t>
      </w:r>
      <w:r w:rsidR="00BA4759">
        <w:t xml:space="preserve">ese types of refinements and approaches, as well as possibly augmentations from </w:t>
      </w:r>
      <w:r>
        <w:t xml:space="preserve">more regular performance reporting (a la Recurve) as useful elements of the Evaluation Portfolio.  However, </w:t>
      </w:r>
      <w:r w:rsidR="00BA4759">
        <w:t xml:space="preserve">Recurve and 2.0 approaches generally </w:t>
      </w:r>
      <w:r>
        <w:t xml:space="preserve">do not provide the same information or supplant the need for the types of evaluation projects that have made up the core of the CT Evaluation Plans. </w:t>
      </w:r>
      <w:r w:rsidRPr="005A59CE">
        <w:rPr>
          <w:i/>
          <w:iCs/>
        </w:rPr>
        <w:t>(no change in Roadmap</w:t>
      </w:r>
      <w:r>
        <w:rPr>
          <w:i/>
          <w:iCs/>
        </w:rPr>
        <w:t>, but may require more flexibility in Plan / contracting process</w:t>
      </w:r>
      <w:r w:rsidRPr="005A59CE">
        <w:rPr>
          <w:i/>
          <w:iCs/>
        </w:rPr>
        <w:t>)</w:t>
      </w:r>
    </w:p>
  </w:comment>
  <w:comment w:id="10" w:author="Lisa Skumatz" w:date="2020-01-25T13:51:00Z" w:initials="LS">
    <w:p w14:paraId="211F2019" w14:textId="0BF873DE" w:rsidR="000B5E17" w:rsidRDefault="000B5E17">
      <w:pPr>
        <w:pStyle w:val="CommentText"/>
      </w:pPr>
      <w:r>
        <w:rPr>
          <w:rStyle w:val="CommentReference"/>
        </w:rPr>
        <w:annotationRef/>
      </w:r>
      <w:r w:rsidRPr="00163347">
        <w:rPr>
          <w:b/>
          <w:bCs/>
          <w:i/>
          <w:iCs/>
        </w:rPr>
        <w:t>EA Team Strongly Supports</w:t>
      </w:r>
      <w:r>
        <w:t xml:space="preserve">:  This revised approach was proposed by EA Team in Oct-Dec 2016, discussed in Evaluation Committee meetings, and generally endorsed for the next Roadmap update.  However, EA Team attention was diverted to Evaluation Plan Update and RFP activities and the Roadmap was not updated at that time.  We proposed the option for efficiency reasons, and because the Roadmap requires study-by-study sets of 30-day counts for various stages of feedback.  We thought this was not an efficient process, and required year-long tracking of individual feedback steps by report.  Once-per year review was therefore proposed and generally agreed.  The main “negative” is that if detailed questions arise, the contractors may be less available than if conduced piecemeal.  We consider this less important than an efficient, coordinated, clear process.  We do need to clarify the final step, which is a little vague in the existing Roadmap.  </w:t>
      </w:r>
      <w:r w:rsidRPr="00F424B4">
        <w:rPr>
          <w:i/>
          <w:iCs/>
        </w:rPr>
        <w:t>(Modifications needed to Roadmap).</w:t>
      </w:r>
    </w:p>
  </w:comment>
  <w:comment w:id="11" w:author="Lisa Skumatz" w:date="2020-01-25T13:51:00Z" w:initials="LS">
    <w:p w14:paraId="13E35703" w14:textId="5D82EEE5" w:rsidR="000B5E17" w:rsidRDefault="000B5E17">
      <w:pPr>
        <w:pStyle w:val="CommentText"/>
      </w:pPr>
      <w:r w:rsidRPr="00163347">
        <w:rPr>
          <w:rStyle w:val="CommentReference"/>
          <w:b/>
          <w:bCs/>
          <w:i/>
          <w:iCs/>
        </w:rPr>
        <w:annotationRef/>
      </w:r>
      <w:r w:rsidRPr="00163347">
        <w:rPr>
          <w:b/>
          <w:bCs/>
          <w:i/>
          <w:iCs/>
        </w:rPr>
        <w:t>Additional suggestions by EA Team</w:t>
      </w:r>
      <w:r>
        <w:t xml:space="preserve">:  Listed below in paragraph format.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79A817" w15:done="0"/>
  <w15:commentEx w15:paraId="38DC7DBB" w15:done="0"/>
  <w15:commentEx w15:paraId="1D2A29E5" w15:done="0"/>
  <w15:commentEx w15:paraId="056FBFF0" w15:done="0"/>
  <w15:commentEx w15:paraId="36A74801" w15:done="0"/>
  <w15:commentEx w15:paraId="5E33FFD0" w15:done="0"/>
  <w15:commentEx w15:paraId="194274BB" w15:done="0"/>
  <w15:commentEx w15:paraId="6F0E9436" w15:done="0"/>
  <w15:commentEx w15:paraId="4F6DE909" w15:done="0"/>
  <w15:commentEx w15:paraId="211F2019" w15:done="0"/>
  <w15:commentEx w15:paraId="13E357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79A817" w16cid:durableId="21D6BA9A"/>
  <w16cid:commentId w16cid:paraId="38DC7DBB" w16cid:durableId="21D6BB57"/>
  <w16cid:commentId w16cid:paraId="1D2A29E5" w16cid:durableId="21D6BBC4"/>
  <w16cid:commentId w16cid:paraId="056FBFF0" w16cid:durableId="21D6BD2C"/>
  <w16cid:commentId w16cid:paraId="36A74801" w16cid:durableId="21D6BE12"/>
  <w16cid:commentId w16cid:paraId="5E33FFD0" w16cid:durableId="21D6C15E"/>
  <w16cid:commentId w16cid:paraId="194274BB" w16cid:durableId="21D6C1F4"/>
  <w16cid:commentId w16cid:paraId="6F0E9436" w16cid:durableId="21D6C5FD"/>
  <w16cid:commentId w16cid:paraId="4F6DE909" w16cid:durableId="21D6C62C"/>
  <w16cid:commentId w16cid:paraId="211F2019" w16cid:durableId="21D6C655"/>
  <w16cid:commentId w16cid:paraId="13E35703" w16cid:durableId="21D6C6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F068B" w14:textId="77777777" w:rsidR="00A43036" w:rsidRDefault="00A43036" w:rsidP="00152448">
      <w:r>
        <w:separator/>
      </w:r>
    </w:p>
  </w:endnote>
  <w:endnote w:type="continuationSeparator" w:id="0">
    <w:p w14:paraId="208A596A" w14:textId="77777777" w:rsidR="00A43036" w:rsidRDefault="00A43036" w:rsidP="00152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3949269"/>
      <w:docPartObj>
        <w:docPartGallery w:val="Page Numbers (Bottom of Page)"/>
        <w:docPartUnique/>
      </w:docPartObj>
    </w:sdtPr>
    <w:sdtEndPr>
      <w:rPr>
        <w:color w:val="7F7F7F" w:themeColor="background1" w:themeShade="7F"/>
        <w:spacing w:val="60"/>
      </w:rPr>
    </w:sdtEndPr>
    <w:sdtContent>
      <w:p w14:paraId="2899E573" w14:textId="4264379E" w:rsidR="000B5E17" w:rsidRDefault="000B5E17">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DF7708" w:rsidRPr="00DF7708">
          <w:rPr>
            <w:b/>
            <w:bCs/>
            <w:noProof/>
          </w:rPr>
          <w:t>1</w:t>
        </w:r>
        <w:r>
          <w:rPr>
            <w:b/>
            <w:bCs/>
            <w:noProof/>
          </w:rPr>
          <w:fldChar w:fldCharType="end"/>
        </w:r>
        <w:r>
          <w:rPr>
            <w:b/>
            <w:bCs/>
          </w:rPr>
          <w:t xml:space="preserve"> | </w:t>
        </w:r>
        <w:r>
          <w:rPr>
            <w:color w:val="7F7F7F" w:themeColor="background1" w:themeShade="7F"/>
            <w:spacing w:val="60"/>
          </w:rPr>
          <w:t>Page</w:t>
        </w:r>
      </w:p>
    </w:sdtContent>
  </w:sdt>
  <w:p w14:paraId="0E914AF6" w14:textId="77777777" w:rsidR="000B5E17" w:rsidRDefault="000B5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48074" w14:textId="77777777" w:rsidR="00A43036" w:rsidRDefault="00A43036" w:rsidP="00152448">
      <w:r>
        <w:separator/>
      </w:r>
    </w:p>
  </w:footnote>
  <w:footnote w:type="continuationSeparator" w:id="0">
    <w:p w14:paraId="557FD933" w14:textId="77777777" w:rsidR="00A43036" w:rsidRDefault="00A43036" w:rsidP="00152448">
      <w:r>
        <w:continuationSeparator/>
      </w:r>
    </w:p>
  </w:footnote>
  <w:footnote w:id="1">
    <w:p w14:paraId="377ABED2" w14:textId="266158E4" w:rsidR="00381F02" w:rsidRPr="003D7C21" w:rsidRDefault="00381F02">
      <w:pPr>
        <w:pStyle w:val="FootnoteText"/>
        <w:rPr>
          <w:i/>
          <w:iCs/>
        </w:rPr>
      </w:pPr>
      <w:r w:rsidRPr="003D7C21">
        <w:rPr>
          <w:rStyle w:val="FootnoteReference"/>
          <w:i/>
          <w:iCs/>
          <w:sz w:val="20"/>
          <w:szCs w:val="18"/>
        </w:rPr>
        <w:footnoteRef/>
      </w:r>
      <w:r w:rsidRPr="003D7C21">
        <w:rPr>
          <w:i/>
          <w:iCs/>
          <w:sz w:val="20"/>
          <w:szCs w:val="18"/>
        </w:rPr>
        <w:t xml:space="preserve"> And potentially provide to fuller data tracking to support evaluation for programs in some cases.</w:t>
      </w:r>
    </w:p>
  </w:footnote>
  <w:footnote w:id="2">
    <w:p w14:paraId="5FBE134A" w14:textId="16163E48" w:rsidR="001D3F3B" w:rsidRPr="003D7C21" w:rsidRDefault="001D3F3B">
      <w:pPr>
        <w:pStyle w:val="FootnoteText"/>
        <w:rPr>
          <w:i/>
          <w:iCs/>
        </w:rPr>
      </w:pPr>
      <w:r w:rsidRPr="003D7C21">
        <w:rPr>
          <w:rStyle w:val="FootnoteReference"/>
          <w:i/>
          <w:iCs/>
          <w:sz w:val="20"/>
          <w:szCs w:val="18"/>
        </w:rPr>
        <w:footnoteRef/>
      </w:r>
      <w:r w:rsidRPr="003D7C21">
        <w:rPr>
          <w:i/>
          <w:iCs/>
          <w:sz w:val="20"/>
          <w:szCs w:val="18"/>
        </w:rPr>
        <w:t xml:space="preserve"> Incentives for data delivery </w:t>
      </w:r>
      <w:r>
        <w:rPr>
          <w:i/>
          <w:iCs/>
          <w:sz w:val="20"/>
          <w:szCs w:val="18"/>
        </w:rPr>
        <w:t xml:space="preserve">performance </w:t>
      </w:r>
      <w:r w:rsidRPr="003D7C21">
        <w:rPr>
          <w:i/>
          <w:iCs/>
          <w:sz w:val="20"/>
          <w:szCs w:val="18"/>
        </w:rPr>
        <w:t>were also mentioned above.</w:t>
      </w:r>
    </w:p>
  </w:footnote>
  <w:footnote w:id="3">
    <w:p w14:paraId="04E186A0" w14:textId="42FF4F9C" w:rsidR="001D3F3B" w:rsidRPr="003D7C21" w:rsidRDefault="001D3F3B">
      <w:pPr>
        <w:pStyle w:val="FootnoteText"/>
        <w:rPr>
          <w:i/>
          <w:iCs/>
        </w:rPr>
      </w:pPr>
      <w:r w:rsidRPr="003D7C21">
        <w:rPr>
          <w:rStyle w:val="FootnoteReference"/>
          <w:i/>
          <w:iCs/>
          <w:sz w:val="20"/>
          <w:szCs w:val="18"/>
        </w:rPr>
        <w:footnoteRef/>
      </w:r>
      <w:r w:rsidRPr="003D7C21">
        <w:rPr>
          <w:i/>
          <w:iCs/>
          <w:sz w:val="20"/>
          <w:szCs w:val="18"/>
        </w:rPr>
        <w:t xml:space="preserve"> It would be unfair not to note that Eversource has been timely in contracting and data requests.</w:t>
      </w:r>
    </w:p>
  </w:footnote>
  <w:footnote w:id="4">
    <w:p w14:paraId="3A589AAE" w14:textId="61705762" w:rsidR="00416BBA" w:rsidRPr="003D7C21" w:rsidRDefault="00416BBA">
      <w:pPr>
        <w:pStyle w:val="FootnoteText"/>
        <w:rPr>
          <w:i/>
          <w:iCs/>
          <w:sz w:val="20"/>
          <w:szCs w:val="18"/>
        </w:rPr>
      </w:pPr>
      <w:r w:rsidRPr="003D7C21">
        <w:rPr>
          <w:rStyle w:val="FootnoteReference"/>
          <w:i/>
          <w:iCs/>
          <w:sz w:val="20"/>
          <w:szCs w:val="18"/>
        </w:rPr>
        <w:footnoteRef/>
      </w:r>
      <w:r w:rsidRPr="003D7C21">
        <w:rPr>
          <w:i/>
          <w:iCs/>
          <w:sz w:val="20"/>
          <w:szCs w:val="18"/>
        </w:rPr>
        <w:t xml:space="preserve"> </w:t>
      </w:r>
      <w:r>
        <w:rPr>
          <w:i/>
          <w:iCs/>
          <w:sz w:val="20"/>
          <w:szCs w:val="18"/>
        </w:rPr>
        <w:t>EA Team a</w:t>
      </w:r>
      <w:r w:rsidRPr="003D7C21">
        <w:rPr>
          <w:i/>
          <w:iCs/>
          <w:sz w:val="20"/>
          <w:szCs w:val="18"/>
        </w:rPr>
        <w:t>ttention needed to switch to RFP and other priorities.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2512D"/>
    <w:multiLevelType w:val="hybridMultilevel"/>
    <w:tmpl w:val="06E4AF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210092"/>
    <w:multiLevelType w:val="hybridMultilevel"/>
    <w:tmpl w:val="B0A4FA5E"/>
    <w:lvl w:ilvl="0" w:tplc="04090011">
      <w:start w:val="1"/>
      <w:numFmt w:val="decimal"/>
      <w:lvlText w:val="%1)"/>
      <w:lvlJc w:val="left"/>
      <w:pPr>
        <w:ind w:left="720" w:hanging="360"/>
      </w:pPr>
      <w:rPr>
        <w:b/>
        <w:bCs/>
      </w:rPr>
    </w:lvl>
    <w:lvl w:ilvl="1" w:tplc="942E17EC">
      <w:start w:val="1"/>
      <w:numFmt w:val="lowerLetter"/>
      <w:lvlText w:val="%2."/>
      <w:lvlJc w:val="left"/>
      <w:pPr>
        <w:ind w:left="1440" w:hanging="360"/>
      </w:pPr>
      <w:rPr>
        <w:color w:val="auto"/>
      </w:rPr>
    </w:lvl>
    <w:lvl w:ilvl="2" w:tplc="B6B252C8">
      <w:start w:val="1"/>
      <w:numFmt w:val="lowerRoman"/>
      <w:lvlText w:val="%3."/>
      <w:lvlJc w:val="right"/>
      <w:pPr>
        <w:ind w:left="2160" w:hanging="180"/>
      </w:pPr>
      <w:rPr>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B122D8C"/>
    <w:multiLevelType w:val="hybridMultilevel"/>
    <w:tmpl w:val="11D6B9A8"/>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1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EE92797"/>
    <w:multiLevelType w:val="hybridMultilevel"/>
    <w:tmpl w:val="FB7089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D3535DF"/>
    <w:multiLevelType w:val="hybridMultilevel"/>
    <w:tmpl w:val="F3C45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915A68"/>
    <w:multiLevelType w:val="hybridMultilevel"/>
    <w:tmpl w:val="17CA0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5E9416CF"/>
    <w:multiLevelType w:val="hybridMultilevel"/>
    <w:tmpl w:val="6A8A9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11434"/>
    <w:multiLevelType w:val="hybridMultilevel"/>
    <w:tmpl w:val="627C97F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47E0695"/>
    <w:multiLevelType w:val="hybridMultilevel"/>
    <w:tmpl w:val="7A822B64"/>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6F9137A"/>
    <w:multiLevelType w:val="hybridMultilevel"/>
    <w:tmpl w:val="DAE069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7"/>
  </w:num>
  <w:num w:numId="2">
    <w:abstractNumId w:val="14"/>
  </w:num>
  <w:num w:numId="3">
    <w:abstractNumId w:val="12"/>
  </w:num>
  <w:num w:numId="4">
    <w:abstractNumId w:val="32"/>
  </w:num>
  <w:num w:numId="5">
    <w:abstractNumId w:val="16"/>
  </w:num>
  <w:num w:numId="6">
    <w:abstractNumId w:val="20"/>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8"/>
  </w:num>
  <w:num w:numId="19">
    <w:abstractNumId w:val="19"/>
  </w:num>
  <w:num w:numId="20">
    <w:abstractNumId w:val="28"/>
  </w:num>
  <w:num w:numId="21">
    <w:abstractNumId w:val="22"/>
  </w:num>
  <w:num w:numId="22">
    <w:abstractNumId w:val="13"/>
  </w:num>
  <w:num w:numId="23">
    <w:abstractNumId w:val="3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31"/>
  </w:num>
  <w:num w:numId="27">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17"/>
  </w:num>
  <w:num w:numId="32">
    <w:abstractNumId w:val="11"/>
  </w:num>
  <w:num w:numId="33">
    <w:abstractNumId w:val="25"/>
  </w:num>
  <w:num w:numId="34">
    <w:abstractNumId w:val="21"/>
  </w:num>
  <w:num w:numId="35">
    <w:abstractNumId w:val="29"/>
  </w:num>
  <w:num w:numId="36">
    <w:abstractNumId w:val="10"/>
  </w:num>
  <w:num w:numId="37">
    <w:abstractNumId w:val="33"/>
  </w:num>
  <w:num w:numId="38">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sa Skumatz">
    <w15:presenceInfo w15:providerId="AD" w15:userId="S::skumatz@serainc.com::9a722e98-3573-43b5-bf53-6acde64b7f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19E"/>
    <w:rsid w:val="00093BC5"/>
    <w:rsid w:val="000B5E17"/>
    <w:rsid w:val="000C2F02"/>
    <w:rsid w:val="000F44AD"/>
    <w:rsid w:val="0012147D"/>
    <w:rsid w:val="00127225"/>
    <w:rsid w:val="00130742"/>
    <w:rsid w:val="00152448"/>
    <w:rsid w:val="00163347"/>
    <w:rsid w:val="001767B0"/>
    <w:rsid w:val="001D3F3B"/>
    <w:rsid w:val="002205F5"/>
    <w:rsid w:val="00222BE9"/>
    <w:rsid w:val="002732C2"/>
    <w:rsid w:val="00281505"/>
    <w:rsid w:val="00297210"/>
    <w:rsid w:val="002B0AD2"/>
    <w:rsid w:val="003405C5"/>
    <w:rsid w:val="00362E15"/>
    <w:rsid w:val="00366D71"/>
    <w:rsid w:val="00381F02"/>
    <w:rsid w:val="003B1ADC"/>
    <w:rsid w:val="003B7BA6"/>
    <w:rsid w:val="003D7C21"/>
    <w:rsid w:val="00416BBA"/>
    <w:rsid w:val="0046180D"/>
    <w:rsid w:val="004B4032"/>
    <w:rsid w:val="004C2FD3"/>
    <w:rsid w:val="00531BB4"/>
    <w:rsid w:val="005461E4"/>
    <w:rsid w:val="005A59CE"/>
    <w:rsid w:val="005C42BE"/>
    <w:rsid w:val="005C7890"/>
    <w:rsid w:val="006032B7"/>
    <w:rsid w:val="0063061C"/>
    <w:rsid w:val="00645252"/>
    <w:rsid w:val="00676468"/>
    <w:rsid w:val="006D3D74"/>
    <w:rsid w:val="00742C84"/>
    <w:rsid w:val="00767728"/>
    <w:rsid w:val="007F1448"/>
    <w:rsid w:val="0083179C"/>
    <w:rsid w:val="0083569A"/>
    <w:rsid w:val="008A15C2"/>
    <w:rsid w:val="008B3800"/>
    <w:rsid w:val="008C5FE6"/>
    <w:rsid w:val="00915E4C"/>
    <w:rsid w:val="0093342A"/>
    <w:rsid w:val="00981C56"/>
    <w:rsid w:val="009C3986"/>
    <w:rsid w:val="009E618C"/>
    <w:rsid w:val="00A43036"/>
    <w:rsid w:val="00A50983"/>
    <w:rsid w:val="00A9204E"/>
    <w:rsid w:val="00AA019E"/>
    <w:rsid w:val="00B00ED2"/>
    <w:rsid w:val="00B3453E"/>
    <w:rsid w:val="00B5762C"/>
    <w:rsid w:val="00BA13D9"/>
    <w:rsid w:val="00BA4759"/>
    <w:rsid w:val="00BD6693"/>
    <w:rsid w:val="00C147F8"/>
    <w:rsid w:val="00CA65B4"/>
    <w:rsid w:val="00CE5B58"/>
    <w:rsid w:val="00D4246B"/>
    <w:rsid w:val="00D77070"/>
    <w:rsid w:val="00D81FBD"/>
    <w:rsid w:val="00DA1BFF"/>
    <w:rsid w:val="00DB2E35"/>
    <w:rsid w:val="00DB6AFF"/>
    <w:rsid w:val="00DF0C53"/>
    <w:rsid w:val="00DF688B"/>
    <w:rsid w:val="00DF7708"/>
    <w:rsid w:val="00E016EB"/>
    <w:rsid w:val="00E94143"/>
    <w:rsid w:val="00EF7887"/>
    <w:rsid w:val="00F424B4"/>
    <w:rsid w:val="00F67B90"/>
    <w:rsid w:val="00F70DF1"/>
    <w:rsid w:val="00FA4243"/>
    <w:rsid w:val="00FF4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21E16"/>
  <w15:docId w15:val="{CA82166D-BB71-4B70-8D0C-3BEE31D2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9E"/>
    <w:rPr>
      <w:rFonts w:ascii="Calibri" w:hAnsi="Calibri" w:cs="Calibri"/>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qFormat/>
    <w:rsid w:val="00AA019E"/>
    <w:pPr>
      <w:spacing w:after="200" w:line="276" w:lineRule="auto"/>
      <w:ind w:left="720"/>
      <w:contextualSpacing/>
    </w:pPr>
  </w:style>
  <w:style w:type="paragraph" w:styleId="Revision">
    <w:name w:val="Revision"/>
    <w:hidden/>
    <w:uiPriority w:val="99"/>
    <w:semiHidden/>
    <w:rsid w:val="00CA65B4"/>
    <w:rPr>
      <w:rFonts w:ascii="Calibri" w:hAnsi="Calibri" w:cs="Calibri"/>
    </w:rPr>
  </w:style>
  <w:style w:type="character" w:styleId="FootnoteReference">
    <w:name w:val="footnote reference"/>
    <w:basedOn w:val="DefaultParagraphFont"/>
    <w:uiPriority w:val="99"/>
    <w:semiHidden/>
    <w:unhideWhenUsed/>
    <w:rsid w:val="001D3F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618789">
      <w:bodyDiv w:val="1"/>
      <w:marLeft w:val="0"/>
      <w:marRight w:val="0"/>
      <w:marTop w:val="0"/>
      <w:marBottom w:val="0"/>
      <w:divBdr>
        <w:top w:val="none" w:sz="0" w:space="0" w:color="auto"/>
        <w:left w:val="none" w:sz="0" w:space="0" w:color="auto"/>
        <w:bottom w:val="none" w:sz="0" w:space="0" w:color="auto"/>
        <w:right w:val="none" w:sz="0" w:space="0" w:color="auto"/>
      </w:divBdr>
    </w:div>
    <w:div w:id="904994954">
      <w:bodyDiv w:val="1"/>
      <w:marLeft w:val="0"/>
      <w:marRight w:val="0"/>
      <w:marTop w:val="0"/>
      <w:marBottom w:val="0"/>
      <w:divBdr>
        <w:top w:val="none" w:sz="0" w:space="0" w:color="auto"/>
        <w:left w:val="none" w:sz="0" w:space="0" w:color="auto"/>
        <w:bottom w:val="none" w:sz="0" w:space="0" w:color="auto"/>
        <w:right w:val="none" w:sz="0" w:space="0" w:color="auto"/>
      </w:divBdr>
    </w:div>
    <w:div w:id="150794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umatz\AppData\Local\Packages\Microsoft.Office.Desktop_8wekyb3d8bbwe\LocalCache\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EB1A1C7B-23A6-4C06-8F24-0813D2E8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12</TotalTime>
  <Pages>5</Pages>
  <Words>1561</Words>
  <Characters>8902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Skumatz</dc:creator>
  <cp:lastModifiedBy>Lisa Skumatz</cp:lastModifiedBy>
  <cp:revision>3</cp:revision>
  <dcterms:created xsi:type="dcterms:W3CDTF">2020-01-28T21:24:00Z</dcterms:created>
  <dcterms:modified xsi:type="dcterms:W3CDTF">2020-01-28T21:31:00Z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